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AE1" w14:textId="77777777" w:rsidR="004D1D35" w:rsidRPr="001F2A98" w:rsidRDefault="00837AB3" w:rsidP="001F2A98">
      <w:pPr>
        <w:pStyle w:val="Titolo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2A98">
        <w:rPr>
          <w:rFonts w:ascii="Times New Roman" w:hAnsi="Times New Roman" w:cs="Times New Roman"/>
          <w:b/>
          <w:bCs/>
          <w:color w:val="auto"/>
          <w:sz w:val="20"/>
          <w:szCs w:val="20"/>
        </w:rPr>
        <w:t>Medicina per manager</w:t>
      </w:r>
    </w:p>
    <w:p w14:paraId="6514699C" w14:textId="77777777" w:rsidR="004D1D35" w:rsidRPr="00837AB3" w:rsidRDefault="004D1D35" w:rsidP="002E0942">
      <w:pPr>
        <w:spacing w:after="0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837AB3">
        <w:rPr>
          <w:rFonts w:ascii="Times New Roman" w:hAnsi="Times New Roman" w:cs="Times New Roman"/>
          <w:smallCaps/>
          <w:sz w:val="18"/>
          <w:szCs w:val="18"/>
        </w:rPr>
        <w:t>Prof. Tringali</w:t>
      </w:r>
      <w:r w:rsidR="00444C22" w:rsidRPr="00837AB3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837AB3" w:rsidRPr="00837AB3">
        <w:rPr>
          <w:rFonts w:ascii="Times New Roman" w:hAnsi="Times New Roman" w:cs="Times New Roman"/>
          <w:smallCaps/>
          <w:sz w:val="18"/>
          <w:szCs w:val="18"/>
        </w:rPr>
        <w:t>Giuseppe</w:t>
      </w:r>
      <w:r w:rsidR="00720C73">
        <w:rPr>
          <w:rFonts w:ascii="Times New Roman" w:hAnsi="Times New Roman" w:cs="Times New Roman"/>
          <w:smallCaps/>
          <w:sz w:val="18"/>
          <w:szCs w:val="18"/>
        </w:rPr>
        <w:t xml:space="preserve"> (</w:t>
      </w:r>
      <w:r w:rsidR="00720C73" w:rsidRPr="00720C73">
        <w:rPr>
          <w:rFonts w:ascii="Times New Roman" w:hAnsi="Times New Roman" w:cs="Times New Roman"/>
          <w:sz w:val="18"/>
          <w:szCs w:val="18"/>
        </w:rPr>
        <w:t xml:space="preserve">coordinatore </w:t>
      </w:r>
      <w:r w:rsidR="00E37EF3">
        <w:rPr>
          <w:rFonts w:ascii="Times New Roman" w:hAnsi="Times New Roman" w:cs="Times New Roman"/>
          <w:sz w:val="18"/>
          <w:szCs w:val="18"/>
        </w:rPr>
        <w:t xml:space="preserve">del </w:t>
      </w:r>
      <w:r w:rsidR="00720C73" w:rsidRPr="00720C73">
        <w:rPr>
          <w:rFonts w:ascii="Times New Roman" w:hAnsi="Times New Roman" w:cs="Times New Roman"/>
          <w:sz w:val="18"/>
          <w:szCs w:val="18"/>
        </w:rPr>
        <w:t>corso integrato</w:t>
      </w:r>
      <w:r w:rsidR="00720C73">
        <w:rPr>
          <w:rFonts w:ascii="Times New Roman" w:hAnsi="Times New Roman" w:cs="Times New Roman"/>
          <w:smallCaps/>
          <w:sz w:val="18"/>
          <w:szCs w:val="18"/>
        </w:rPr>
        <w:t>)</w:t>
      </w:r>
      <w:r w:rsidR="00837AB3" w:rsidRPr="00837AB3">
        <w:rPr>
          <w:rFonts w:ascii="Times New Roman" w:hAnsi="Times New Roman" w:cs="Times New Roman"/>
          <w:smallCaps/>
          <w:sz w:val="18"/>
          <w:szCs w:val="18"/>
        </w:rPr>
        <w:t xml:space="preserve">; </w:t>
      </w:r>
      <w:r w:rsidRPr="00837AB3">
        <w:rPr>
          <w:rFonts w:ascii="Times New Roman" w:hAnsi="Times New Roman" w:cs="Times New Roman"/>
          <w:smallCaps/>
          <w:sz w:val="18"/>
          <w:szCs w:val="18"/>
        </w:rPr>
        <w:t>Prof. Gianfranco Damiani</w:t>
      </w:r>
    </w:p>
    <w:p w14:paraId="5B2477A3" w14:textId="77777777"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210E8C9F" w14:textId="603336BA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 xml:space="preserve">L’insegnamento si propone di fornire agli studenti le nozioni di base per interpretare in maniera critica le componenti e le dinamiche organizzative ed economiche delle strutture sanitarie e delle aziende farmaceutiche, con riferimento sia al quadro nazionale che europeo. </w:t>
      </w:r>
      <w:r w:rsidR="00CA361C" w:rsidRPr="004D111E">
        <w:rPr>
          <w:rFonts w:ascii="Times New Roman" w:hAnsi="Times New Roman" w:cs="Times New Roman"/>
          <w:sz w:val="20"/>
          <w:szCs w:val="18"/>
        </w:rPr>
        <w:t>Inoltre,</w:t>
      </w:r>
      <w:r w:rsidRPr="004D111E">
        <w:rPr>
          <w:rFonts w:ascii="Times New Roman" w:hAnsi="Times New Roman" w:cs="Times New Roman"/>
          <w:sz w:val="20"/>
          <w:szCs w:val="18"/>
        </w:rPr>
        <w:t xml:space="preserve"> si propone di fornire allo studente conoscenze e abilità che permettano allo stesso di identificare opportunità a livello strategico, gestionale e operativo per realizzare una favorevole integrazione tra cultura del governo economico e l’autodeterminazione dei professionisti della salute, allineando coerentemente il soddisfacimento dei bisogni del paziente, della comunità, dei professionisti sanitari, degli amministratori e dei responsabili del sistema di regolamentazione.</w:t>
      </w:r>
    </w:p>
    <w:p w14:paraId="46357286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Al termine dell’insegnamento, lo studente sarà in grado:</w:t>
      </w:r>
    </w:p>
    <w:p w14:paraId="0B775274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1.</w:t>
      </w:r>
      <w:r w:rsidRPr="004D111E">
        <w:rPr>
          <w:rFonts w:ascii="Times New Roman" w:hAnsi="Times New Roman" w:cs="Times New Roman"/>
          <w:sz w:val="20"/>
          <w:szCs w:val="18"/>
        </w:rPr>
        <w:tab/>
        <w:t>di acquisire i concetti basilari di farmacoeconomia, conoscere e comprendere gli indicatori di spesa e di consumo dei farmaci, nonché di essere in grado di leggere e comprendere i risultati di analisi farmacoeconomiche. Di acquisire la conoscenza delle caratteristiche dei sistemi sanitari e quelle di funzionamento del Servizio Sanitario Nazionale e delle sue articolazioni e servizi;</w:t>
      </w:r>
    </w:p>
    <w:p w14:paraId="7BA2E276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2.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acquisire la capacità di leggere e analizzare i dati di prescrizione della spesa farmaceutica e dei consumi dei farmaci impiegati in terapia a livello territoriale ed ospedaliero. Di acquisire la capacità di integrare le logiche del governo economico con quelle della </w:t>
      </w:r>
      <w:r w:rsidRPr="005B65E4">
        <w:rPr>
          <w:rFonts w:ascii="Times New Roman" w:hAnsi="Times New Roman" w:cs="Times New Roman"/>
          <w:i/>
          <w:sz w:val="20"/>
          <w:szCs w:val="18"/>
        </w:rPr>
        <w:t>clinical governance</w:t>
      </w:r>
      <w:r w:rsidRPr="004D111E">
        <w:rPr>
          <w:rFonts w:ascii="Times New Roman" w:hAnsi="Times New Roman" w:cs="Times New Roman"/>
          <w:sz w:val="20"/>
          <w:szCs w:val="18"/>
        </w:rPr>
        <w:t>;</w:t>
      </w:r>
    </w:p>
    <w:p w14:paraId="32D6BD28" w14:textId="1BF74952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3.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interpretare in maniera autonoma i risultati di un’analisi economica (rapporto costo-efficacia, costo-beneficio e costo-utilità) per un trattamento farmaco-terapeutico. </w:t>
      </w:r>
      <w:r w:rsidR="00CA361C" w:rsidRPr="004D111E">
        <w:rPr>
          <w:rFonts w:ascii="Times New Roman" w:hAnsi="Times New Roman" w:cs="Times New Roman"/>
          <w:sz w:val="20"/>
          <w:szCs w:val="18"/>
        </w:rPr>
        <w:t>Inoltre,</w:t>
      </w:r>
      <w:r w:rsidRPr="004D111E">
        <w:rPr>
          <w:rFonts w:ascii="Times New Roman" w:hAnsi="Times New Roman" w:cs="Times New Roman"/>
          <w:sz w:val="20"/>
          <w:szCs w:val="18"/>
        </w:rPr>
        <w:t xml:space="preserve"> gli studenti devono saper valutare i problemi e le implicazioni associate all’uso di farmaci e i loro </w:t>
      </w:r>
      <w:r w:rsidRPr="00545BBF">
        <w:rPr>
          <w:rFonts w:ascii="Times New Roman" w:hAnsi="Times New Roman" w:cs="Times New Roman"/>
          <w:i/>
          <w:sz w:val="20"/>
          <w:szCs w:val="18"/>
        </w:rPr>
        <w:t>trend</w:t>
      </w:r>
      <w:r w:rsidRPr="004D111E">
        <w:rPr>
          <w:rFonts w:ascii="Times New Roman" w:hAnsi="Times New Roman" w:cs="Times New Roman"/>
          <w:sz w:val="20"/>
          <w:szCs w:val="18"/>
        </w:rPr>
        <w:t xml:space="preserve"> prescrittivi. Saper valutare con autonomia di giudizio la collocazione di problemi di salute del singolo e della comunità in </w:t>
      </w:r>
      <w:r w:rsidRPr="005B65E4">
        <w:rPr>
          <w:rFonts w:ascii="Times New Roman" w:hAnsi="Times New Roman" w:cs="Times New Roman"/>
          <w:i/>
          <w:sz w:val="20"/>
          <w:szCs w:val="18"/>
        </w:rPr>
        <w:t>setting</w:t>
      </w:r>
      <w:r w:rsidRPr="004D111E">
        <w:rPr>
          <w:rFonts w:ascii="Times New Roman" w:hAnsi="Times New Roman" w:cs="Times New Roman"/>
          <w:sz w:val="20"/>
          <w:szCs w:val="18"/>
        </w:rPr>
        <w:t xml:space="preserve"> organizzativi appropriati;</w:t>
      </w:r>
    </w:p>
    <w:p w14:paraId="73237DC5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4.</w:t>
      </w:r>
      <w:r w:rsidRPr="004D111E">
        <w:rPr>
          <w:rFonts w:ascii="Times New Roman" w:hAnsi="Times New Roman" w:cs="Times New Roman"/>
          <w:sz w:val="20"/>
          <w:szCs w:val="18"/>
        </w:rPr>
        <w:tab/>
        <w:t>di utilizzare un linguaggio tecnico, specifico e adeguato alla disciplina;</w:t>
      </w:r>
    </w:p>
    <w:p w14:paraId="339CF164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5.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sviluppare gli strumenti e le competenze necessarie utili per una valutazione economica, sia in termini di potenziali costi/benefici che in termini di spesa e consumo, apportati da una strategia farmaco-terapeutica. Di sviluppare competenze necessarie per interagire con professionisti ed operatori sanitari secondo una logica che contestualizzi un approccio manageriale alla complessità </w:t>
      </w:r>
      <w:r w:rsidRPr="004D111E">
        <w:rPr>
          <w:rFonts w:ascii="Times New Roman" w:hAnsi="Times New Roman" w:cs="Times New Roman"/>
          <w:sz w:val="20"/>
          <w:szCs w:val="18"/>
        </w:rPr>
        <w:lastRenderedPageBreak/>
        <w:t>dei determinanti di salute individuali e di popolazione.</w:t>
      </w:r>
    </w:p>
    <w:p w14:paraId="26E568DD" w14:textId="77777777"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9F4B077" w14:textId="77777777" w:rsidR="004D111E" w:rsidRPr="004D111E" w:rsidRDefault="004D111E" w:rsidP="004D111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Giuseppe Tringali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(Bio-14)</w:t>
      </w:r>
    </w:p>
    <w:p w14:paraId="4B229853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Definizione e principi di Farmacoeconomia. Differenza tra mercato concorrenziale e mercato farmaceutico. Modelli di analisi economica (minimizzazione dei costi; analisi costo-efficacia, costo-beneficio, costo-utilità).</w:t>
      </w:r>
    </w:p>
    <w:p w14:paraId="093A92DB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Classificazione dei farmaci dal punto di vista giuridico amministrativo.</w:t>
      </w:r>
    </w:p>
    <w:p w14:paraId="272081D9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Analisi del consumo dei farmaci (sistema ATC/DDD).</w:t>
      </w:r>
    </w:p>
    <w:p w14:paraId="252234B4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Sviluppo pre-clinico e clinico del farmaco: aspetti tecnico-scientifici e regolatori.</w:t>
      </w:r>
    </w:p>
    <w:p w14:paraId="2C4CB32F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Andamento della spesa farmaceutica e misure congiunturali, strutturali intraprese dal 2000 ad oggi.</w:t>
      </w:r>
    </w:p>
    <w:p w14:paraId="1582EB18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Farmaci bioequivalenti e biosimilari.</w:t>
      </w:r>
    </w:p>
    <w:p w14:paraId="5A81A31A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Spesa Farmaceutica Ospedaliera e aree di intervento delle Regioni (DD/DPC; PHT; innovazione e rimborsabilità condizionata – Managed Entry Agreements; mobilità sanitaria: File F)</w:t>
      </w:r>
    </w:p>
    <w:p w14:paraId="3A5AFCCE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Funzioni e competenze nella gestione dei farmaci delle organizzazioni sanitarie.</w:t>
      </w:r>
    </w:p>
    <w:p w14:paraId="4FA134F0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Gestione del flusso delle scorte, dei rifornimenti e della distribuzione dei farmaci in una struttura sanitaria. </w:t>
      </w:r>
    </w:p>
    <w:p w14:paraId="7678CDAD" w14:textId="77777777" w:rsidR="004D111E" w:rsidRPr="004D111E" w:rsidRDefault="004D111E" w:rsidP="004D111E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Gianfranco Damiani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(Med-42)</w:t>
      </w:r>
    </w:p>
    <w:p w14:paraId="137754AB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La Clinical Governance: significato, metodi e strumenti. Prospettive di integrazione con il governo economico. </w:t>
      </w:r>
    </w:p>
    <w:p w14:paraId="63F7F079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L’evoluzione della medicina dall’esperienza all’evidenza: EBM, linee guida, PDTA.</w:t>
      </w:r>
    </w:p>
    <w:p w14:paraId="39D12F52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Sistema sanitario: funzioni e ragioni di sviluppo.</w:t>
      </w:r>
    </w:p>
    <w:p w14:paraId="29111CB4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Livelli Essenziali di Assistenza (LEA)</w:t>
      </w:r>
    </w:p>
    <w:p w14:paraId="1086FCE9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sanità pubblica e prevenzione basata sulle prove d’efficacia.</w:t>
      </w:r>
    </w:p>
    <w:p w14:paraId="25A1301E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Evoluzione della assistenza primaria e integrazione sociosanitaria: gli sviluppi della medicina generale; la presa in carico e la continuità assistenziale.</w:t>
      </w:r>
    </w:p>
    <w:p w14:paraId="33BFAE97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struttura ospedaliera e integrazione ospedale-territorio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.</w:t>
      </w:r>
    </w:p>
    <w:p w14:paraId="5B999977" w14:textId="77777777" w:rsidR="00837AB3" w:rsidRP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14:paraId="2EA1566E" w14:textId="4292676E" w:rsidR="004D111E" w:rsidRPr="00CA361C" w:rsidRDefault="004D111E" w:rsidP="0028224B">
      <w:pPr>
        <w:pStyle w:val="Paragrafoelenco"/>
        <w:numPr>
          <w:ilvl w:val="0"/>
          <w:numId w:val="12"/>
        </w:num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L'uso dei Farmaci in Italia - Rapporto Nazionale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- OsMed (ultima edizione)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. Versione </w:t>
      </w:r>
      <w:r w:rsidR="0085146A"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on line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sul sito AIFA </w:t>
      </w:r>
      <w:r w:rsidR="0085146A"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www.aifa.gov.it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[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Cap.1, sez. 1.1-1.4; Cap.2, sez. </w:t>
      </w:r>
      <w:r w:rsidR="00B41F4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2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.1-</w:t>
      </w:r>
      <w:r w:rsidR="00B41F4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2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.3; Cap. 4; Cap. 5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]</w:t>
      </w:r>
    </w:p>
    <w:p w14:paraId="7E7D7886" w14:textId="77777777" w:rsidR="004D111E" w:rsidRPr="00CA361C" w:rsidRDefault="004D111E" w:rsidP="0028224B">
      <w:pPr>
        <w:pStyle w:val="Paragrafoelenco"/>
        <w:numPr>
          <w:ilvl w:val="0"/>
          <w:numId w:val="12"/>
        </w:num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A361C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G. Damiani-M.L. Specchia-G. Ricciardi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, </w:t>
      </w:r>
      <w:r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Manuale di Programmazione ed Organizzazione Sanitaria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, </w:t>
      </w:r>
      <w:r w:rsidR="00545BBF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4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vertAlign w:val="superscript"/>
          <w:lang w:eastAsia="it-IT"/>
        </w:rPr>
        <w:t>a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Edizione, Idelson Gnocchi, Napoli, 20</w:t>
      </w:r>
      <w:r w:rsidR="00545BBF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21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[tutti i capitoli].</w:t>
      </w:r>
    </w:p>
    <w:p w14:paraId="2E85A038" w14:textId="77777777" w:rsidR="004D111E" w:rsidRPr="00CA361C" w:rsidRDefault="004D111E" w:rsidP="0028224B">
      <w:pPr>
        <w:pStyle w:val="Paragrafoelenco"/>
        <w:numPr>
          <w:ilvl w:val="0"/>
          <w:numId w:val="12"/>
        </w:num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lastRenderedPageBreak/>
        <w:t>Package didattico (slide, articoli), accessibile elettronicamente sulla piattaforma Blackboard.</w:t>
      </w:r>
    </w:p>
    <w:p w14:paraId="576061C7" w14:textId="77777777"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2793FC8A" w14:textId="77777777" w:rsidR="00A91CDB" w:rsidRPr="00837AB3" w:rsidRDefault="00A91CDB" w:rsidP="00837AB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Lezioni frontali</w:t>
      </w:r>
    </w:p>
    <w:p w14:paraId="734C0D86" w14:textId="77777777"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47AFD440" w14:textId="77777777" w:rsidR="00D61244" w:rsidRPr="00837AB3" w:rsidRDefault="00D61244" w:rsidP="00720C73">
      <w:pPr>
        <w:pStyle w:val="Testo2"/>
        <w:rPr>
          <w:rFonts w:ascii="Times New Roman" w:hAnsi="Times New Roman"/>
          <w:szCs w:val="18"/>
        </w:rPr>
      </w:pPr>
      <w:r w:rsidRPr="00837AB3">
        <w:rPr>
          <w:rFonts w:ascii="Times New Roman" w:hAnsi="Times New Roman"/>
          <w:szCs w:val="18"/>
        </w:rPr>
        <w:t xml:space="preserve">L’esame si svolgerà con una prova finale al termine del corso, proposta nella forma di elaborato scritto con domande chiuse a risposta multipla (n.30), </w:t>
      </w:r>
      <w:r w:rsidR="002E0942" w:rsidRPr="00837AB3">
        <w:rPr>
          <w:rFonts w:ascii="Times New Roman" w:hAnsi="Times New Roman"/>
          <w:szCs w:val="18"/>
        </w:rPr>
        <w:t>che abbracciano i programmi di entrambi i moduli</w:t>
      </w:r>
      <w:r w:rsidR="00720C73">
        <w:rPr>
          <w:rFonts w:ascii="Times New Roman" w:hAnsi="Times New Roman"/>
          <w:szCs w:val="18"/>
        </w:rPr>
        <w:t xml:space="preserve"> (v</w:t>
      </w:r>
      <w:r w:rsidR="00720C73" w:rsidRPr="00720C73">
        <w:rPr>
          <w:rFonts w:ascii="Times New Roman" w:hAnsi="Times New Roman"/>
          <w:szCs w:val="18"/>
        </w:rPr>
        <w:t xml:space="preserve">errà assegnato 1 </w:t>
      </w:r>
      <w:r w:rsidR="00720C73">
        <w:rPr>
          <w:rFonts w:ascii="Times New Roman" w:hAnsi="Times New Roman"/>
          <w:szCs w:val="18"/>
        </w:rPr>
        <w:t xml:space="preserve">punto per ogni risposta esatta. </w:t>
      </w:r>
      <w:r w:rsidR="00720C73" w:rsidRPr="00720C73">
        <w:rPr>
          <w:rFonts w:ascii="Times New Roman" w:hAnsi="Times New Roman"/>
          <w:szCs w:val="18"/>
        </w:rPr>
        <w:t>Non verranno assegnate penalizzazioni alle ri</w:t>
      </w:r>
      <w:r w:rsidR="00720C73">
        <w:rPr>
          <w:rFonts w:ascii="Times New Roman" w:hAnsi="Times New Roman"/>
          <w:szCs w:val="18"/>
        </w:rPr>
        <w:t>sposte errate e a quelle omesse)</w:t>
      </w:r>
      <w:r w:rsidR="002E0942" w:rsidRPr="00837AB3">
        <w:rPr>
          <w:rFonts w:ascii="Times New Roman" w:hAnsi="Times New Roman"/>
          <w:szCs w:val="18"/>
        </w:rPr>
        <w:t xml:space="preserve">. Il superamento dell’esame richiede una votazione minima di 18/30. </w:t>
      </w:r>
    </w:p>
    <w:p w14:paraId="3F6E7DC8" w14:textId="77777777"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0CDC3607" w14:textId="77777777" w:rsidR="004D111E" w:rsidRDefault="004D111E" w:rsidP="004D111E">
      <w:pPr>
        <w:pStyle w:val="Testo2"/>
        <w:rPr>
          <w:rFonts w:ascii="Times New Roman" w:hAnsi="Times New Roman"/>
        </w:rPr>
      </w:pPr>
      <w:r w:rsidRPr="004D111E">
        <w:rPr>
          <w:rFonts w:ascii="Times New Roman" w:hAnsi="Times New Roman"/>
        </w:rPr>
        <w:t xml:space="preserve">Si consiglia vivamente la frequenza e la partecipazione attiva al corso. È previsto l’uso della piattaforma informatica Blackboard per attività quali annunci, comunicazioni dei voti e distribuzione di materiale didattico e di approfondimento degli argomenti trattati a lezione. </w:t>
      </w:r>
    </w:p>
    <w:p w14:paraId="2E37A1A0" w14:textId="41AFB176" w:rsidR="00B41F4C" w:rsidRPr="00B41F4C" w:rsidRDefault="00B41F4C" w:rsidP="00B41F4C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18"/>
          <w:szCs w:val="18"/>
          <w:lang w:eastAsia="it-IT"/>
        </w:rPr>
      </w:pPr>
      <w:r w:rsidRPr="00B41F4C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18"/>
          <w:szCs w:val="18"/>
          <w:lang w:eastAsia="it-IT"/>
        </w:rPr>
        <w:t>Orario e Luogo di ricevimento degli studenti</w:t>
      </w:r>
    </w:p>
    <w:p w14:paraId="6BC8D7AC" w14:textId="5D8A1711" w:rsidR="00B41F4C" w:rsidRDefault="00B41F4C" w:rsidP="00B41F4C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docenti </w:t>
      </w:r>
      <w:r w:rsidR="008C0ADF">
        <w:rPr>
          <w:rFonts w:ascii="Times New Roman" w:hAnsi="Times New Roman"/>
        </w:rPr>
        <w:t xml:space="preserve">riceveranno gli studenti nel loro studio, presso gli Istituti Biologici della facoltà di </w:t>
      </w:r>
      <w:r w:rsidR="00BF635C">
        <w:rPr>
          <w:rFonts w:ascii="Times New Roman" w:hAnsi="Times New Roman"/>
        </w:rPr>
        <w:t>M</w:t>
      </w:r>
      <w:r w:rsidR="008C0ADF">
        <w:rPr>
          <w:rFonts w:ascii="Times New Roman" w:hAnsi="Times New Roman"/>
        </w:rPr>
        <w:t>edicina</w:t>
      </w:r>
      <w:r w:rsidR="00BF635C">
        <w:rPr>
          <w:rFonts w:ascii="Times New Roman" w:hAnsi="Times New Roman"/>
        </w:rPr>
        <w:t xml:space="preserve"> e Chirurgia</w:t>
      </w:r>
      <w:r w:rsidR="008C0ADF">
        <w:rPr>
          <w:rFonts w:ascii="Times New Roman" w:hAnsi="Times New Roman"/>
        </w:rPr>
        <w:t>, previa richiesta di appuntamento</w:t>
      </w:r>
      <w:r w:rsidR="00BF635C">
        <w:rPr>
          <w:rFonts w:ascii="Times New Roman" w:hAnsi="Times New Roman"/>
        </w:rPr>
        <w:t xml:space="preserve"> </w:t>
      </w:r>
      <w:r w:rsidR="008C0ADF">
        <w:rPr>
          <w:rFonts w:ascii="Times New Roman" w:hAnsi="Times New Roman"/>
        </w:rPr>
        <w:t>via e-mail</w:t>
      </w:r>
      <w:r w:rsidR="00BF635C">
        <w:rPr>
          <w:rFonts w:ascii="Times New Roman" w:hAnsi="Times New Roman"/>
        </w:rPr>
        <w:t xml:space="preserve"> </w:t>
      </w:r>
      <w:r w:rsidR="008C0ADF">
        <w:rPr>
          <w:rFonts w:ascii="Times New Roman" w:hAnsi="Times New Roman"/>
        </w:rPr>
        <w:t>(</w:t>
      </w:r>
      <w:hyperlink r:id="rId5" w:history="1">
        <w:r w:rsidR="00BF635C" w:rsidRPr="00B11E69">
          <w:rPr>
            <w:rStyle w:val="Collegamentoipertestuale"/>
            <w:rFonts w:ascii="Times New Roman" w:hAnsi="Times New Roman"/>
          </w:rPr>
          <w:t>giuseppe.tringali@unicatt.it</w:t>
        </w:r>
      </w:hyperlink>
      <w:r w:rsidR="008C0ADF">
        <w:rPr>
          <w:rFonts w:ascii="Times New Roman" w:hAnsi="Times New Roman"/>
        </w:rPr>
        <w:t xml:space="preserve"> ; </w:t>
      </w:r>
      <w:hyperlink r:id="rId6" w:history="1">
        <w:r w:rsidR="008C0ADF" w:rsidRPr="00B11E69">
          <w:rPr>
            <w:rStyle w:val="Collegamentoipertestuale"/>
            <w:rFonts w:ascii="Times New Roman" w:hAnsi="Times New Roman"/>
          </w:rPr>
          <w:t>gianfranco.damiani@unicatt.it</w:t>
        </w:r>
      </w:hyperlink>
      <w:r w:rsidR="008C0ADF">
        <w:rPr>
          <w:rFonts w:ascii="Times New Roman" w:hAnsi="Times New Roman"/>
        </w:rPr>
        <w:t>).</w:t>
      </w:r>
    </w:p>
    <w:p w14:paraId="2D80D23A" w14:textId="77777777" w:rsidR="00140272" w:rsidRDefault="00140272" w:rsidP="00B41F4C">
      <w:pPr>
        <w:pStyle w:val="Testo2"/>
        <w:rPr>
          <w:rFonts w:ascii="Times New Roman" w:hAnsi="Times New Roman"/>
        </w:rPr>
      </w:pPr>
    </w:p>
    <w:p w14:paraId="43015E4B" w14:textId="77777777" w:rsidR="004D1D35" w:rsidRPr="00837AB3" w:rsidRDefault="004D1D35" w:rsidP="002E09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D1D35" w:rsidRPr="00837AB3" w:rsidSect="00837AB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4107DA"/>
    <w:multiLevelType w:val="hybridMultilevel"/>
    <w:tmpl w:val="C2AA67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6145F"/>
    <w:multiLevelType w:val="hybridMultilevel"/>
    <w:tmpl w:val="5A6EAD7C"/>
    <w:lvl w:ilvl="0" w:tplc="2B92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DB2"/>
    <w:multiLevelType w:val="hybridMultilevel"/>
    <w:tmpl w:val="1C204B9E"/>
    <w:lvl w:ilvl="0" w:tplc="0410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2F80F19"/>
    <w:multiLevelType w:val="hybridMultilevel"/>
    <w:tmpl w:val="7BCCE27A"/>
    <w:lvl w:ilvl="0" w:tplc="0DBC1FD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F21"/>
    <w:multiLevelType w:val="hybridMultilevel"/>
    <w:tmpl w:val="CA8C09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06806"/>
    <w:multiLevelType w:val="hybridMultilevel"/>
    <w:tmpl w:val="F6FEFF36"/>
    <w:lvl w:ilvl="0" w:tplc="68980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045C"/>
    <w:multiLevelType w:val="hybridMultilevel"/>
    <w:tmpl w:val="D25E0218"/>
    <w:lvl w:ilvl="0" w:tplc="47E8F0F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493"/>
    <w:multiLevelType w:val="hybridMultilevel"/>
    <w:tmpl w:val="E04A3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F0C2A"/>
    <w:multiLevelType w:val="hybridMultilevel"/>
    <w:tmpl w:val="D3CA7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17A9"/>
    <w:multiLevelType w:val="hybridMultilevel"/>
    <w:tmpl w:val="B24ED506"/>
    <w:lvl w:ilvl="0" w:tplc="0410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 w16cid:durableId="913128999">
    <w:abstractNumId w:val="2"/>
  </w:num>
  <w:num w:numId="2" w16cid:durableId="1723482044">
    <w:abstractNumId w:val="0"/>
  </w:num>
  <w:num w:numId="3" w16cid:durableId="1074158429">
    <w:abstractNumId w:val="7"/>
  </w:num>
  <w:num w:numId="4" w16cid:durableId="1635671288">
    <w:abstractNumId w:val="6"/>
  </w:num>
  <w:num w:numId="5" w16cid:durableId="1660228989">
    <w:abstractNumId w:val="0"/>
  </w:num>
  <w:num w:numId="6" w16cid:durableId="297953407">
    <w:abstractNumId w:val="1"/>
  </w:num>
  <w:num w:numId="7" w16cid:durableId="104034616">
    <w:abstractNumId w:val="5"/>
  </w:num>
  <w:num w:numId="8" w16cid:durableId="1861234241">
    <w:abstractNumId w:val="3"/>
  </w:num>
  <w:num w:numId="9" w16cid:durableId="1170100170">
    <w:abstractNumId w:val="9"/>
  </w:num>
  <w:num w:numId="10" w16cid:durableId="2145393692">
    <w:abstractNumId w:val="4"/>
  </w:num>
  <w:num w:numId="11" w16cid:durableId="940332632">
    <w:abstractNumId w:val="10"/>
  </w:num>
  <w:num w:numId="12" w16cid:durableId="559443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35"/>
    <w:rsid w:val="000232E6"/>
    <w:rsid w:val="000569C9"/>
    <w:rsid w:val="00063D9A"/>
    <w:rsid w:val="00067AE5"/>
    <w:rsid w:val="00077044"/>
    <w:rsid w:val="000853C7"/>
    <w:rsid w:val="000B3307"/>
    <w:rsid w:val="000D060D"/>
    <w:rsid w:val="000E4E3C"/>
    <w:rsid w:val="000E7C3D"/>
    <w:rsid w:val="001171DD"/>
    <w:rsid w:val="001203CA"/>
    <w:rsid w:val="00123856"/>
    <w:rsid w:val="001373FA"/>
    <w:rsid w:val="00140272"/>
    <w:rsid w:val="001561FC"/>
    <w:rsid w:val="00192D61"/>
    <w:rsid w:val="001B1B44"/>
    <w:rsid w:val="001D4019"/>
    <w:rsid w:val="001E50C2"/>
    <w:rsid w:val="001E59F2"/>
    <w:rsid w:val="001F2A98"/>
    <w:rsid w:val="00254AA0"/>
    <w:rsid w:val="00257F58"/>
    <w:rsid w:val="00276967"/>
    <w:rsid w:val="00277B05"/>
    <w:rsid w:val="00281802"/>
    <w:rsid w:val="0028224B"/>
    <w:rsid w:val="002A1960"/>
    <w:rsid w:val="002E0942"/>
    <w:rsid w:val="002E58EB"/>
    <w:rsid w:val="002F7BC7"/>
    <w:rsid w:val="00301418"/>
    <w:rsid w:val="00354662"/>
    <w:rsid w:val="00356723"/>
    <w:rsid w:val="003634DF"/>
    <w:rsid w:val="00364A11"/>
    <w:rsid w:val="00365583"/>
    <w:rsid w:val="00386E6A"/>
    <w:rsid w:val="003C7CFD"/>
    <w:rsid w:val="003D07BB"/>
    <w:rsid w:val="003D54DE"/>
    <w:rsid w:val="003F27E2"/>
    <w:rsid w:val="004064C5"/>
    <w:rsid w:val="00444C22"/>
    <w:rsid w:val="00451F15"/>
    <w:rsid w:val="00453266"/>
    <w:rsid w:val="00455B8E"/>
    <w:rsid w:val="00471401"/>
    <w:rsid w:val="004718C4"/>
    <w:rsid w:val="00482BC6"/>
    <w:rsid w:val="004A0F2C"/>
    <w:rsid w:val="004C22EF"/>
    <w:rsid w:val="004D111E"/>
    <w:rsid w:val="004D1ACA"/>
    <w:rsid w:val="004D1D35"/>
    <w:rsid w:val="004E1A93"/>
    <w:rsid w:val="005121A1"/>
    <w:rsid w:val="0053169C"/>
    <w:rsid w:val="00545BBF"/>
    <w:rsid w:val="00585C55"/>
    <w:rsid w:val="005B65E4"/>
    <w:rsid w:val="005D35F3"/>
    <w:rsid w:val="00601F76"/>
    <w:rsid w:val="00671E76"/>
    <w:rsid w:val="00672EBE"/>
    <w:rsid w:val="00680D68"/>
    <w:rsid w:val="00682577"/>
    <w:rsid w:val="00697CB2"/>
    <w:rsid w:val="006A3AE2"/>
    <w:rsid w:val="006C0DE7"/>
    <w:rsid w:val="006C664F"/>
    <w:rsid w:val="006E29CB"/>
    <w:rsid w:val="006F5398"/>
    <w:rsid w:val="00720C73"/>
    <w:rsid w:val="007440A8"/>
    <w:rsid w:val="00766CF4"/>
    <w:rsid w:val="00770D85"/>
    <w:rsid w:val="007739D1"/>
    <w:rsid w:val="007A38D3"/>
    <w:rsid w:val="007C0C43"/>
    <w:rsid w:val="007D049D"/>
    <w:rsid w:val="007D0D75"/>
    <w:rsid w:val="007F017C"/>
    <w:rsid w:val="007F0CC1"/>
    <w:rsid w:val="007F781F"/>
    <w:rsid w:val="00815DE7"/>
    <w:rsid w:val="00837AB3"/>
    <w:rsid w:val="0085146A"/>
    <w:rsid w:val="00882F20"/>
    <w:rsid w:val="00884F2B"/>
    <w:rsid w:val="00892269"/>
    <w:rsid w:val="008C0ADF"/>
    <w:rsid w:val="008E497B"/>
    <w:rsid w:val="00903BCB"/>
    <w:rsid w:val="00922CD2"/>
    <w:rsid w:val="0097355B"/>
    <w:rsid w:val="009744F4"/>
    <w:rsid w:val="00993607"/>
    <w:rsid w:val="009E022E"/>
    <w:rsid w:val="009E22CF"/>
    <w:rsid w:val="009F0A6C"/>
    <w:rsid w:val="00A0192F"/>
    <w:rsid w:val="00A12487"/>
    <w:rsid w:val="00A135D8"/>
    <w:rsid w:val="00A20E58"/>
    <w:rsid w:val="00A2236B"/>
    <w:rsid w:val="00A2383B"/>
    <w:rsid w:val="00A54DEC"/>
    <w:rsid w:val="00A575C5"/>
    <w:rsid w:val="00A66D8C"/>
    <w:rsid w:val="00A91714"/>
    <w:rsid w:val="00A91CDB"/>
    <w:rsid w:val="00AF38A1"/>
    <w:rsid w:val="00B107DC"/>
    <w:rsid w:val="00B20BEC"/>
    <w:rsid w:val="00B33EEE"/>
    <w:rsid w:val="00B3432E"/>
    <w:rsid w:val="00B3561C"/>
    <w:rsid w:val="00B41F4C"/>
    <w:rsid w:val="00B42B2B"/>
    <w:rsid w:val="00B47E87"/>
    <w:rsid w:val="00B71C5A"/>
    <w:rsid w:val="00BA5D52"/>
    <w:rsid w:val="00BD15D8"/>
    <w:rsid w:val="00BE66E6"/>
    <w:rsid w:val="00BF572B"/>
    <w:rsid w:val="00BF635C"/>
    <w:rsid w:val="00C103F2"/>
    <w:rsid w:val="00C40EAF"/>
    <w:rsid w:val="00C46B3B"/>
    <w:rsid w:val="00C47B71"/>
    <w:rsid w:val="00C502BC"/>
    <w:rsid w:val="00C55574"/>
    <w:rsid w:val="00C55AEA"/>
    <w:rsid w:val="00C77E8F"/>
    <w:rsid w:val="00C85F62"/>
    <w:rsid w:val="00CA0A12"/>
    <w:rsid w:val="00CA361C"/>
    <w:rsid w:val="00CF4152"/>
    <w:rsid w:val="00D10E0C"/>
    <w:rsid w:val="00D15731"/>
    <w:rsid w:val="00D2192C"/>
    <w:rsid w:val="00D30FCA"/>
    <w:rsid w:val="00D44F44"/>
    <w:rsid w:val="00D52111"/>
    <w:rsid w:val="00D61244"/>
    <w:rsid w:val="00D67716"/>
    <w:rsid w:val="00D80237"/>
    <w:rsid w:val="00D8446F"/>
    <w:rsid w:val="00DD6CB6"/>
    <w:rsid w:val="00DD78BB"/>
    <w:rsid w:val="00DE142E"/>
    <w:rsid w:val="00E131BC"/>
    <w:rsid w:val="00E1793C"/>
    <w:rsid w:val="00E212A5"/>
    <w:rsid w:val="00E30D52"/>
    <w:rsid w:val="00E37EF3"/>
    <w:rsid w:val="00E47E89"/>
    <w:rsid w:val="00E60259"/>
    <w:rsid w:val="00E63ADA"/>
    <w:rsid w:val="00E7450F"/>
    <w:rsid w:val="00E96083"/>
    <w:rsid w:val="00EB4BAE"/>
    <w:rsid w:val="00EC1543"/>
    <w:rsid w:val="00EC5AF7"/>
    <w:rsid w:val="00ED3720"/>
    <w:rsid w:val="00ED5AC0"/>
    <w:rsid w:val="00ED79AA"/>
    <w:rsid w:val="00EE0D3C"/>
    <w:rsid w:val="00EE7A8D"/>
    <w:rsid w:val="00EF2AA7"/>
    <w:rsid w:val="00F10F11"/>
    <w:rsid w:val="00F437BD"/>
    <w:rsid w:val="00F66580"/>
    <w:rsid w:val="00F7789A"/>
    <w:rsid w:val="00F87F31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AC48"/>
  <w15:docId w15:val="{6B472A10-F3F5-4DA3-B5D8-F1AA8D1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AB3"/>
  </w:style>
  <w:style w:type="paragraph" w:styleId="Titolo1">
    <w:name w:val="heading 1"/>
    <w:basedOn w:val="Normale"/>
    <w:next w:val="Normale"/>
    <w:link w:val="Titolo1Carattere"/>
    <w:uiPriority w:val="9"/>
    <w:qFormat/>
    <w:rsid w:val="001F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9F2"/>
    <w:pPr>
      <w:ind w:left="720"/>
      <w:contextualSpacing/>
    </w:pPr>
  </w:style>
  <w:style w:type="paragraph" w:customStyle="1" w:styleId="Testo2">
    <w:name w:val="Testo 2"/>
    <w:rsid w:val="00815DE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655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0A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0AD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franco.damiani@unicatt.it" TargetMode="External"/><Relationship Id="rId5" Type="http://schemas.openxmlformats.org/officeDocument/2006/relationships/hyperlink" Target="mailto:giuseppe.tringal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Tringali Giuseppe</dc:creator>
  <cp:lastModifiedBy>Grassi Monica Barbara</cp:lastModifiedBy>
  <cp:revision>3</cp:revision>
  <cp:lastPrinted>2023-05-11T17:17:00Z</cp:lastPrinted>
  <dcterms:created xsi:type="dcterms:W3CDTF">2023-05-12T09:19:00Z</dcterms:created>
  <dcterms:modified xsi:type="dcterms:W3CDTF">2023-05-12T09:20:00Z</dcterms:modified>
</cp:coreProperties>
</file>