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0B42" w14:textId="5474CAC5" w:rsidR="00B56EB7" w:rsidRPr="00815981" w:rsidRDefault="002A3C5C" w:rsidP="00B56EB7">
      <w:pPr>
        <w:pStyle w:val="Titolo1"/>
      </w:pPr>
      <w:r>
        <w:t xml:space="preserve">Marketing </w:t>
      </w:r>
      <w:r w:rsidR="000D3DBD">
        <w:t>strategico</w:t>
      </w:r>
    </w:p>
    <w:p w14:paraId="5A29DC6F" w14:textId="77777777" w:rsidR="00B56EB7" w:rsidRPr="002477DC" w:rsidRDefault="002760C6" w:rsidP="00B56EB7">
      <w:pPr>
        <w:pStyle w:val="Titolo2"/>
        <w:jc w:val="both"/>
        <w:rPr>
          <w:sz w:val="20"/>
        </w:rPr>
      </w:pPr>
      <w:r w:rsidRPr="002477DC">
        <w:t xml:space="preserve">Prof. </w:t>
      </w:r>
      <w:r w:rsidR="002A3C5C" w:rsidRPr="002477DC">
        <w:t>R</w:t>
      </w:r>
      <w:r w:rsidRPr="002477DC">
        <w:t xml:space="preserve">enato </w:t>
      </w:r>
      <w:r w:rsidR="002A3C5C" w:rsidRPr="002477DC">
        <w:t>Fiocca; Prof. l</w:t>
      </w:r>
      <w:r w:rsidRPr="002477DC">
        <w:t xml:space="preserve">ala </w:t>
      </w:r>
      <w:r w:rsidR="002A3C5C" w:rsidRPr="002477DC">
        <w:t>hu</w:t>
      </w:r>
    </w:p>
    <w:p w14:paraId="12FA7906" w14:textId="77777777" w:rsidR="00B56EB7" w:rsidRPr="00C6384C" w:rsidRDefault="00B56EB7" w:rsidP="00B56EB7">
      <w:pPr>
        <w:spacing w:before="240" w:after="120" w:line="240" w:lineRule="exact"/>
        <w:rPr>
          <w:b/>
          <w:sz w:val="18"/>
          <w:szCs w:val="18"/>
        </w:rPr>
      </w:pPr>
      <w:r w:rsidRPr="00C6384C">
        <w:rPr>
          <w:b/>
          <w:i/>
          <w:sz w:val="18"/>
          <w:szCs w:val="18"/>
        </w:rPr>
        <w:t>OBIETTIVO DEL CORSO</w:t>
      </w:r>
      <w:r w:rsidR="008765AD" w:rsidRPr="00C6384C">
        <w:rPr>
          <w:b/>
          <w:i/>
          <w:sz w:val="18"/>
          <w:szCs w:val="18"/>
        </w:rPr>
        <w:t xml:space="preserve"> E RISULTATI DI APPRENDIMENTO ATTESI</w:t>
      </w:r>
    </w:p>
    <w:p w14:paraId="2E01A7D5" w14:textId="77777777" w:rsidR="002D131C" w:rsidRPr="00415458" w:rsidRDefault="002D131C" w:rsidP="002D131C">
      <w:pPr>
        <w:rPr>
          <w:szCs w:val="20"/>
        </w:rPr>
      </w:pPr>
      <w:r w:rsidRPr="00415458">
        <w:rPr>
          <w:szCs w:val="20"/>
        </w:rPr>
        <w:t xml:space="preserve">Il corso presenta le tematiche relative al marketing strategico, con particolare attenzione alle relazioni di mercato e al contesto internazionale. Il corso nello specifico riguarda la formulazione delle strategie di marketing avendo come riferimento il rapporto tra impresa e mercato. </w:t>
      </w:r>
      <w:proofErr w:type="gramStart"/>
      <w:r w:rsidRPr="00415458">
        <w:rPr>
          <w:szCs w:val="20"/>
        </w:rPr>
        <w:t>In particolare</w:t>
      </w:r>
      <w:proofErr w:type="gramEnd"/>
      <w:r w:rsidRPr="00415458">
        <w:rPr>
          <w:szCs w:val="20"/>
        </w:rPr>
        <w:t xml:space="preserve"> vengono indagati i processi di creazione, distribuzione, comunicazione, misurazione e appropriazione del valore. Argomenti qualificanti del corso riguardano l’individuazione delle fonti e lo sviluppo del vantaggio competitivo dell’impresa, la collocazione dell’impresa all’interno di un network relazionale, l’evoluzione dei comportamenti concorrenziali in chiave cooperativa, lo sviluppo delle politiche di brand management anche in una prospettiva relazionale, e il processo e le strategie di marketing internazionale.</w:t>
      </w:r>
    </w:p>
    <w:p w14:paraId="10906941" w14:textId="77777777" w:rsidR="002D131C" w:rsidRPr="00415458" w:rsidRDefault="002D131C" w:rsidP="002477DC">
      <w:pPr>
        <w:spacing w:before="120"/>
        <w:rPr>
          <w:b/>
          <w:i/>
          <w:szCs w:val="20"/>
        </w:rPr>
      </w:pPr>
      <w:r w:rsidRPr="00415458">
        <w:rPr>
          <w:b/>
          <w:i/>
          <w:szCs w:val="20"/>
        </w:rPr>
        <w:t>Al termine del corso gli studenti:</w:t>
      </w:r>
    </w:p>
    <w:p w14:paraId="0F22920C" w14:textId="77777777" w:rsidR="002D131C" w:rsidRPr="00415458" w:rsidRDefault="002D131C" w:rsidP="002477DC">
      <w:pPr>
        <w:pStyle w:val="Paragrafoelenco"/>
        <w:numPr>
          <w:ilvl w:val="0"/>
          <w:numId w:val="1"/>
        </w:numPr>
        <w:spacing w:after="120"/>
        <w:ind w:left="284" w:hanging="284"/>
        <w:rPr>
          <w:szCs w:val="20"/>
        </w:rPr>
      </w:pPr>
      <w:r w:rsidRPr="00415458">
        <w:rPr>
          <w:szCs w:val="20"/>
        </w:rPr>
        <w:t>comprenderanno le potenzialità di un orientamento al mercato e sapranno attuare tale approccio in un contesto competitivo dinamico;</w:t>
      </w:r>
    </w:p>
    <w:p w14:paraId="3C498903" w14:textId="77777777" w:rsidR="002D131C" w:rsidRPr="00415458" w:rsidRDefault="002D131C" w:rsidP="002477DC">
      <w:pPr>
        <w:pStyle w:val="Paragrafoelenco"/>
        <w:numPr>
          <w:ilvl w:val="0"/>
          <w:numId w:val="1"/>
        </w:numPr>
        <w:spacing w:before="240" w:after="120"/>
        <w:ind w:left="284" w:hanging="284"/>
        <w:rPr>
          <w:szCs w:val="20"/>
        </w:rPr>
      </w:pPr>
      <w:r w:rsidRPr="00415458">
        <w:rPr>
          <w:szCs w:val="20"/>
        </w:rPr>
        <w:t xml:space="preserve">conosceranno le componenti dell’analisi del business dell’impresa nella duplice prospettiva </w:t>
      </w:r>
      <w:r w:rsidRPr="00415458">
        <w:rPr>
          <w:i/>
          <w:szCs w:val="20"/>
        </w:rPr>
        <w:t>outside-inside</w:t>
      </w:r>
      <w:r w:rsidRPr="00415458">
        <w:rPr>
          <w:szCs w:val="20"/>
        </w:rPr>
        <w:t xml:space="preserve"> e </w:t>
      </w:r>
      <w:r w:rsidRPr="00415458">
        <w:rPr>
          <w:i/>
          <w:szCs w:val="20"/>
        </w:rPr>
        <w:t>inside-outside</w:t>
      </w:r>
      <w:r w:rsidRPr="00415458">
        <w:rPr>
          <w:szCs w:val="20"/>
        </w:rPr>
        <w:t>;</w:t>
      </w:r>
    </w:p>
    <w:p w14:paraId="6C1A09D6" w14:textId="77777777" w:rsidR="002D131C" w:rsidRPr="00415458" w:rsidRDefault="002D131C" w:rsidP="002477DC">
      <w:pPr>
        <w:pStyle w:val="Paragrafoelenco"/>
        <w:numPr>
          <w:ilvl w:val="0"/>
          <w:numId w:val="1"/>
        </w:numPr>
        <w:spacing w:before="240" w:after="120"/>
        <w:ind w:left="284" w:hanging="284"/>
        <w:rPr>
          <w:szCs w:val="20"/>
        </w:rPr>
      </w:pPr>
      <w:r w:rsidRPr="00415458">
        <w:rPr>
          <w:szCs w:val="20"/>
        </w:rPr>
        <w:t>sapranno valutare l’importanza delle risorse intangibili, delle capacità dinamiche e delle competenze distintive d’impresa per la formulazione delle strategie di marketing</w:t>
      </w:r>
    </w:p>
    <w:p w14:paraId="3DF8371A" w14:textId="77777777" w:rsidR="002D131C" w:rsidRPr="00415458" w:rsidRDefault="002D131C" w:rsidP="002477DC">
      <w:pPr>
        <w:pStyle w:val="Paragrafoelenco"/>
        <w:numPr>
          <w:ilvl w:val="0"/>
          <w:numId w:val="1"/>
        </w:numPr>
        <w:spacing w:before="240" w:after="120"/>
        <w:ind w:left="284" w:hanging="284"/>
        <w:rPr>
          <w:szCs w:val="20"/>
        </w:rPr>
      </w:pPr>
      <w:r w:rsidRPr="00415458">
        <w:rPr>
          <w:szCs w:val="20"/>
        </w:rPr>
        <w:t xml:space="preserve">saranno in grado di valutare le componenti delle relazioni e dell’evoluzione da un marketing transazionale a uno relazionale </w:t>
      </w:r>
    </w:p>
    <w:p w14:paraId="7666AAB2" w14:textId="77777777" w:rsidR="002D131C" w:rsidRPr="00415458" w:rsidRDefault="002D131C" w:rsidP="002477DC">
      <w:pPr>
        <w:pStyle w:val="Paragrafoelenco"/>
        <w:numPr>
          <w:ilvl w:val="0"/>
          <w:numId w:val="1"/>
        </w:numPr>
        <w:spacing w:before="240" w:after="120"/>
        <w:ind w:left="284" w:hanging="284"/>
        <w:rPr>
          <w:szCs w:val="20"/>
        </w:rPr>
      </w:pPr>
      <w:r w:rsidRPr="00415458">
        <w:rPr>
          <w:szCs w:val="20"/>
        </w:rPr>
        <w:t xml:space="preserve">sapranno definire le strategie e le politiche di marketing anche alla luce dell’impatto della </w:t>
      </w:r>
      <w:r w:rsidRPr="00415458">
        <w:rPr>
          <w:i/>
          <w:szCs w:val="20"/>
        </w:rPr>
        <w:t>digital transformation</w:t>
      </w:r>
      <w:r w:rsidRPr="00415458">
        <w:rPr>
          <w:szCs w:val="20"/>
        </w:rPr>
        <w:t xml:space="preserve"> </w:t>
      </w:r>
    </w:p>
    <w:p w14:paraId="5BAF6F17" w14:textId="77777777" w:rsidR="002D131C" w:rsidRPr="00415458" w:rsidRDefault="002D131C" w:rsidP="002477DC">
      <w:pPr>
        <w:pStyle w:val="Paragrafoelenco"/>
        <w:numPr>
          <w:ilvl w:val="0"/>
          <w:numId w:val="1"/>
        </w:numPr>
        <w:spacing w:before="240" w:after="120"/>
        <w:ind w:left="284" w:hanging="284"/>
        <w:rPr>
          <w:szCs w:val="20"/>
        </w:rPr>
      </w:pPr>
      <w:r w:rsidRPr="00415458">
        <w:rPr>
          <w:szCs w:val="20"/>
        </w:rPr>
        <w:t xml:space="preserve">apprenderanno </w:t>
      </w:r>
      <w:r w:rsidR="00A97F82" w:rsidRPr="00415458">
        <w:rPr>
          <w:szCs w:val="20"/>
        </w:rPr>
        <w:t>le fasi de</w:t>
      </w:r>
      <w:r w:rsidRPr="00415458">
        <w:rPr>
          <w:szCs w:val="20"/>
        </w:rPr>
        <w:t>l processo di marketing internazionale</w:t>
      </w:r>
    </w:p>
    <w:p w14:paraId="7445AC14" w14:textId="77777777" w:rsidR="002D131C" w:rsidRPr="00A13BA2" w:rsidRDefault="002D131C" w:rsidP="002477DC">
      <w:pPr>
        <w:pStyle w:val="Paragrafoelenco"/>
        <w:numPr>
          <w:ilvl w:val="0"/>
          <w:numId w:val="1"/>
        </w:numPr>
        <w:spacing w:before="240" w:after="120"/>
        <w:ind w:left="284" w:hanging="284"/>
        <w:rPr>
          <w:szCs w:val="20"/>
        </w:rPr>
      </w:pPr>
      <w:r w:rsidRPr="00415458">
        <w:rPr>
          <w:szCs w:val="20"/>
        </w:rPr>
        <w:t xml:space="preserve">sapranno definire le strategie e le politiche di marketing internazionale, anche in mercati </w:t>
      </w:r>
      <w:r w:rsidR="00263CC0" w:rsidRPr="00415458">
        <w:rPr>
          <w:szCs w:val="20"/>
        </w:rPr>
        <w:t xml:space="preserve">distanti </w:t>
      </w:r>
      <w:r w:rsidRPr="00415458">
        <w:rPr>
          <w:szCs w:val="20"/>
        </w:rPr>
        <w:t>come la Cina</w:t>
      </w:r>
    </w:p>
    <w:p w14:paraId="2FE77C98" w14:textId="77777777" w:rsidR="002B5919" w:rsidRPr="00415458" w:rsidRDefault="00B56EB7" w:rsidP="002B5919">
      <w:pPr>
        <w:spacing w:before="240" w:after="120" w:line="240" w:lineRule="exact"/>
        <w:rPr>
          <w:b/>
          <w:i/>
          <w:szCs w:val="20"/>
        </w:rPr>
      </w:pPr>
      <w:r w:rsidRPr="00415458">
        <w:rPr>
          <w:b/>
          <w:i/>
          <w:szCs w:val="20"/>
        </w:rPr>
        <w:t>PROGRAMMA DEL CORSO</w:t>
      </w:r>
    </w:p>
    <w:p w14:paraId="5EA39A79" w14:textId="77777777" w:rsidR="00EB150D" w:rsidRPr="00415458" w:rsidRDefault="00EB150D" w:rsidP="002477DC">
      <w:pPr>
        <w:rPr>
          <w:szCs w:val="20"/>
        </w:rPr>
      </w:pPr>
      <w:r w:rsidRPr="00415458">
        <w:rPr>
          <w:szCs w:val="20"/>
        </w:rPr>
        <w:t xml:space="preserve">Il corso è articolato nelle seguenti parti fondamentali: </w:t>
      </w:r>
    </w:p>
    <w:p w14:paraId="456A0A32" w14:textId="5C062A78" w:rsidR="002478C7" w:rsidRPr="002477DC" w:rsidRDefault="002478C7" w:rsidP="002477DC">
      <w:pPr>
        <w:pStyle w:val="Paragrafoelenco"/>
        <w:numPr>
          <w:ilvl w:val="0"/>
          <w:numId w:val="4"/>
        </w:numPr>
        <w:ind w:left="284" w:hanging="284"/>
        <w:rPr>
          <w:rFonts w:eastAsia="MS Mincho"/>
          <w:i/>
          <w:szCs w:val="20"/>
        </w:rPr>
      </w:pPr>
      <w:r w:rsidRPr="002477DC">
        <w:rPr>
          <w:rFonts w:eastAsia="MS Mincho"/>
          <w:i/>
          <w:szCs w:val="20"/>
        </w:rPr>
        <w:t xml:space="preserve">Il marketing strategico nell’economia e nella gestione d’impresa. </w:t>
      </w:r>
    </w:p>
    <w:p w14:paraId="1015EBC5" w14:textId="77777777" w:rsidR="002478C7" w:rsidRPr="00415458" w:rsidRDefault="002478C7" w:rsidP="002478C7">
      <w:pPr>
        <w:ind w:left="284" w:hanging="284"/>
        <w:rPr>
          <w:rFonts w:eastAsia="MS Mincho"/>
          <w:szCs w:val="20"/>
        </w:rPr>
      </w:pPr>
      <w:r w:rsidRPr="00415458">
        <w:rPr>
          <w:rFonts w:eastAsia="MS Mincho"/>
          <w:szCs w:val="20"/>
        </w:rPr>
        <w:lastRenderedPageBreak/>
        <w:t xml:space="preserve">L’evoluzione del marketing strategico. La </w:t>
      </w:r>
      <w:r w:rsidRPr="00415458">
        <w:rPr>
          <w:szCs w:val="20"/>
        </w:rPr>
        <w:t xml:space="preserve">prospettiva </w:t>
      </w:r>
      <w:r w:rsidRPr="00415458">
        <w:rPr>
          <w:i/>
          <w:szCs w:val="20"/>
        </w:rPr>
        <w:t>outside-inside</w:t>
      </w:r>
      <w:r w:rsidRPr="00415458">
        <w:rPr>
          <w:szCs w:val="20"/>
        </w:rPr>
        <w:t xml:space="preserve"> e </w:t>
      </w:r>
      <w:r w:rsidRPr="00415458">
        <w:rPr>
          <w:i/>
          <w:szCs w:val="20"/>
        </w:rPr>
        <w:t xml:space="preserve">inside-outside </w:t>
      </w:r>
      <w:r w:rsidRPr="00415458">
        <w:rPr>
          <w:szCs w:val="20"/>
        </w:rPr>
        <w:t xml:space="preserve">nell’analisi del rapporto tra le caratteristiche del business e dell’impresa. </w:t>
      </w:r>
      <w:r w:rsidRPr="00415458">
        <w:rPr>
          <w:rFonts w:eastAsia="MS Mincho"/>
          <w:szCs w:val="20"/>
        </w:rPr>
        <w:t xml:space="preserve">La conoscenza del settore e l’analisi delle dinamiche competitive </w:t>
      </w:r>
    </w:p>
    <w:p w14:paraId="3402A29C" w14:textId="23E73298" w:rsidR="002478C7" w:rsidRPr="002477DC" w:rsidRDefault="002478C7" w:rsidP="002477DC">
      <w:pPr>
        <w:pStyle w:val="Paragrafoelenco"/>
        <w:numPr>
          <w:ilvl w:val="0"/>
          <w:numId w:val="4"/>
        </w:numPr>
        <w:ind w:left="284" w:hanging="284"/>
        <w:rPr>
          <w:rFonts w:eastAsia="MS Mincho"/>
          <w:i/>
          <w:szCs w:val="20"/>
        </w:rPr>
      </w:pPr>
      <w:r w:rsidRPr="002477DC">
        <w:rPr>
          <w:rFonts w:eastAsia="MS Mincho"/>
          <w:i/>
          <w:szCs w:val="20"/>
        </w:rPr>
        <w:t>Le risorse tangibili e intangibili</w:t>
      </w:r>
    </w:p>
    <w:p w14:paraId="6424FD6E" w14:textId="77777777" w:rsidR="002478C7" w:rsidRPr="00415458" w:rsidRDefault="002478C7" w:rsidP="002478C7">
      <w:pPr>
        <w:rPr>
          <w:rFonts w:eastAsia="MS Mincho"/>
          <w:szCs w:val="20"/>
        </w:rPr>
      </w:pPr>
      <w:r w:rsidRPr="00415458">
        <w:rPr>
          <w:rFonts w:eastAsia="MS Mincho"/>
          <w:szCs w:val="20"/>
        </w:rPr>
        <w:t>Risorse tangibili e intangibili. Risorse di fiducia e di conoscenza. La necessità di un equilibrio dinamico tra risorse tangibili e intangibili. Brand management e brand equity</w:t>
      </w:r>
    </w:p>
    <w:p w14:paraId="7A1B5F17" w14:textId="7D4AA8B2" w:rsidR="002478C7" w:rsidRPr="002477DC" w:rsidRDefault="002478C7" w:rsidP="002477DC">
      <w:pPr>
        <w:pStyle w:val="Paragrafoelenco"/>
        <w:numPr>
          <w:ilvl w:val="0"/>
          <w:numId w:val="4"/>
        </w:numPr>
        <w:ind w:left="284" w:hanging="284"/>
        <w:rPr>
          <w:rFonts w:eastAsia="MS Mincho"/>
          <w:i/>
          <w:szCs w:val="20"/>
        </w:rPr>
      </w:pPr>
      <w:r w:rsidRPr="002477DC">
        <w:rPr>
          <w:rFonts w:eastAsia="MS Mincho"/>
          <w:i/>
          <w:szCs w:val="20"/>
        </w:rPr>
        <w:t>Dinamismo delle risorse e competenze distintive</w:t>
      </w:r>
    </w:p>
    <w:p w14:paraId="071BF869" w14:textId="77777777" w:rsidR="002478C7" w:rsidRPr="00415458" w:rsidRDefault="002478C7" w:rsidP="002478C7">
      <w:pPr>
        <w:ind w:left="284" w:hanging="284"/>
        <w:rPr>
          <w:rFonts w:eastAsia="MS Mincho"/>
          <w:szCs w:val="20"/>
        </w:rPr>
      </w:pPr>
      <w:r w:rsidRPr="00415458">
        <w:rPr>
          <w:rFonts w:eastAsia="MS Mincho"/>
          <w:szCs w:val="20"/>
        </w:rPr>
        <w:t xml:space="preserve">Le cosiddette </w:t>
      </w:r>
      <w:r w:rsidRPr="00415458">
        <w:rPr>
          <w:rFonts w:eastAsia="MS Mincho"/>
          <w:i/>
          <w:szCs w:val="20"/>
        </w:rPr>
        <w:t xml:space="preserve">dynamic capabilities. </w:t>
      </w:r>
      <w:r w:rsidRPr="00415458">
        <w:rPr>
          <w:rFonts w:eastAsia="MS Mincho"/>
          <w:szCs w:val="20"/>
        </w:rPr>
        <w:t>Competenze standard, abilitanti e distintive</w:t>
      </w:r>
    </w:p>
    <w:p w14:paraId="57157BC8" w14:textId="33281012" w:rsidR="002478C7" w:rsidRPr="002477DC" w:rsidRDefault="002478C7" w:rsidP="002477DC">
      <w:pPr>
        <w:pStyle w:val="Paragrafoelenco"/>
        <w:numPr>
          <w:ilvl w:val="0"/>
          <w:numId w:val="4"/>
        </w:numPr>
        <w:ind w:left="284" w:hanging="284"/>
        <w:rPr>
          <w:rFonts w:eastAsia="MS Mincho"/>
          <w:i/>
          <w:szCs w:val="20"/>
        </w:rPr>
      </w:pPr>
      <w:r w:rsidRPr="002477DC">
        <w:rPr>
          <w:rFonts w:eastAsia="MS Mincho"/>
          <w:i/>
          <w:szCs w:val="20"/>
        </w:rPr>
        <w:t>La gestione delle relazioni di mercato</w:t>
      </w:r>
    </w:p>
    <w:p w14:paraId="6E3A84DD" w14:textId="77777777" w:rsidR="002478C7" w:rsidRPr="00415458" w:rsidRDefault="002478C7" w:rsidP="00756B2E">
      <w:pPr>
        <w:rPr>
          <w:rFonts w:eastAsia="MS Mincho"/>
          <w:szCs w:val="20"/>
        </w:rPr>
      </w:pPr>
      <w:r w:rsidRPr="00415458">
        <w:rPr>
          <w:rFonts w:eastAsia="MS Mincho"/>
          <w:szCs w:val="20"/>
        </w:rPr>
        <w:t xml:space="preserve">Il ruolo delle relazioni come meta-risorse intangibili. Dal marketing transazionale al marketing relazionale. La prospettiva network nella formulazione delle strategie di marketing. Il </w:t>
      </w:r>
      <w:r w:rsidRPr="00415458">
        <w:rPr>
          <w:rFonts w:eastAsia="MS Mincho"/>
          <w:i/>
          <w:szCs w:val="20"/>
        </w:rPr>
        <w:t>customer lifetime value</w:t>
      </w:r>
      <w:r w:rsidRPr="00415458">
        <w:rPr>
          <w:rFonts w:eastAsia="MS Mincho"/>
          <w:szCs w:val="20"/>
        </w:rPr>
        <w:t xml:space="preserve"> e la </w:t>
      </w:r>
      <w:r w:rsidRPr="00415458">
        <w:rPr>
          <w:rFonts w:eastAsia="MS Mincho"/>
          <w:i/>
          <w:szCs w:val="20"/>
        </w:rPr>
        <w:t>customer value proposition</w:t>
      </w:r>
    </w:p>
    <w:p w14:paraId="560810FD" w14:textId="37724A13" w:rsidR="002478C7" w:rsidRPr="002477DC" w:rsidRDefault="002478C7" w:rsidP="002477DC">
      <w:pPr>
        <w:pStyle w:val="Paragrafoelenco"/>
        <w:numPr>
          <w:ilvl w:val="0"/>
          <w:numId w:val="4"/>
        </w:numPr>
        <w:ind w:left="284" w:hanging="284"/>
        <w:rPr>
          <w:rFonts w:eastAsia="MS Mincho"/>
          <w:i/>
          <w:szCs w:val="20"/>
        </w:rPr>
      </w:pPr>
      <w:r w:rsidRPr="002477DC">
        <w:rPr>
          <w:rFonts w:eastAsia="MS Mincho"/>
          <w:i/>
          <w:szCs w:val="20"/>
        </w:rPr>
        <w:t>Digital Strategic Marketing</w:t>
      </w:r>
    </w:p>
    <w:p w14:paraId="0E8099BF" w14:textId="77777777" w:rsidR="002478C7" w:rsidRPr="00415458" w:rsidRDefault="002478C7" w:rsidP="00756B2E">
      <w:pPr>
        <w:rPr>
          <w:rFonts w:eastAsia="MS Mincho"/>
          <w:szCs w:val="20"/>
        </w:rPr>
      </w:pPr>
      <w:r w:rsidRPr="00415458">
        <w:rPr>
          <w:rFonts w:eastAsia="MS Mincho"/>
          <w:szCs w:val="20"/>
        </w:rPr>
        <w:t xml:space="preserve">Strategie di marketing nella </w:t>
      </w:r>
      <w:r w:rsidRPr="00415458">
        <w:rPr>
          <w:rFonts w:eastAsia="MS Mincho"/>
          <w:i/>
          <w:szCs w:val="20"/>
        </w:rPr>
        <w:t>digital trasformation</w:t>
      </w:r>
      <w:r w:rsidRPr="00415458">
        <w:rPr>
          <w:rFonts w:eastAsia="MS Mincho"/>
          <w:szCs w:val="20"/>
        </w:rPr>
        <w:t xml:space="preserve"> ed equilibrio tra strategie offline e online. </w:t>
      </w:r>
    </w:p>
    <w:p w14:paraId="7696F413" w14:textId="0125A2FE" w:rsidR="002D131C" w:rsidRPr="002477DC" w:rsidRDefault="002D131C" w:rsidP="00756B2E">
      <w:pPr>
        <w:pStyle w:val="Paragrafoelenco"/>
        <w:numPr>
          <w:ilvl w:val="0"/>
          <w:numId w:val="4"/>
        </w:numPr>
        <w:ind w:left="0" w:firstLine="0"/>
        <w:rPr>
          <w:i/>
          <w:szCs w:val="20"/>
        </w:rPr>
      </w:pPr>
      <w:r w:rsidRPr="002477DC">
        <w:rPr>
          <w:i/>
          <w:szCs w:val="20"/>
        </w:rPr>
        <w:t>Il processo di marketing internazionale</w:t>
      </w:r>
    </w:p>
    <w:p w14:paraId="181E65E1" w14:textId="77777777" w:rsidR="002D131C" w:rsidRPr="00415458" w:rsidRDefault="002478C7" w:rsidP="00756B2E">
      <w:pPr>
        <w:spacing w:line="240" w:lineRule="exact"/>
        <w:rPr>
          <w:szCs w:val="20"/>
        </w:rPr>
      </w:pPr>
      <w:r w:rsidRPr="00415458">
        <w:rPr>
          <w:szCs w:val="20"/>
        </w:rPr>
        <w:t>Fasi del processo di marketing internazionale, s</w:t>
      </w:r>
      <w:r w:rsidR="002D131C" w:rsidRPr="00415458">
        <w:rPr>
          <w:szCs w:val="20"/>
        </w:rPr>
        <w:t>trategie e modalità d’ing</w:t>
      </w:r>
      <w:r w:rsidRPr="00415458">
        <w:rPr>
          <w:szCs w:val="20"/>
        </w:rPr>
        <w:t>resso</w:t>
      </w:r>
    </w:p>
    <w:p w14:paraId="61372EA5" w14:textId="316396CE" w:rsidR="002478C7" w:rsidRPr="002477DC" w:rsidRDefault="002478C7" w:rsidP="00756B2E">
      <w:pPr>
        <w:pStyle w:val="Paragrafoelenco"/>
        <w:numPr>
          <w:ilvl w:val="0"/>
          <w:numId w:val="4"/>
        </w:numPr>
        <w:ind w:left="0" w:firstLine="0"/>
        <w:rPr>
          <w:i/>
          <w:szCs w:val="20"/>
        </w:rPr>
      </w:pPr>
      <w:r w:rsidRPr="002477DC">
        <w:rPr>
          <w:i/>
          <w:szCs w:val="20"/>
        </w:rPr>
        <w:t>Politiche di marketing internazionale</w:t>
      </w:r>
    </w:p>
    <w:p w14:paraId="1D055BD7" w14:textId="77777777" w:rsidR="002478C7" w:rsidRPr="00415458" w:rsidRDefault="002478C7" w:rsidP="00756B2E">
      <w:pPr>
        <w:spacing w:line="240" w:lineRule="exact"/>
        <w:rPr>
          <w:szCs w:val="20"/>
        </w:rPr>
      </w:pPr>
      <w:r w:rsidRPr="00415458">
        <w:rPr>
          <w:szCs w:val="20"/>
        </w:rPr>
        <w:t>Fattori del marketing mix applicati ai mercati internazionali</w:t>
      </w:r>
    </w:p>
    <w:p w14:paraId="71A11028" w14:textId="6B183C2D" w:rsidR="002D131C" w:rsidRPr="002477DC" w:rsidRDefault="002D131C" w:rsidP="00756B2E">
      <w:pPr>
        <w:pStyle w:val="Paragrafoelenco"/>
        <w:numPr>
          <w:ilvl w:val="0"/>
          <w:numId w:val="4"/>
        </w:numPr>
        <w:ind w:left="0" w:firstLine="0"/>
        <w:rPr>
          <w:i/>
          <w:szCs w:val="20"/>
        </w:rPr>
      </w:pPr>
      <w:r w:rsidRPr="002477DC">
        <w:rPr>
          <w:i/>
          <w:szCs w:val="20"/>
        </w:rPr>
        <w:t>Il mercato cinese</w:t>
      </w:r>
    </w:p>
    <w:p w14:paraId="4AF5D28E" w14:textId="77777777" w:rsidR="002760C6" w:rsidRPr="00415458" w:rsidRDefault="002478C7" w:rsidP="00756B2E">
      <w:pPr>
        <w:pStyle w:val="Testo1"/>
        <w:spacing w:line="240" w:lineRule="atLeast"/>
        <w:ind w:left="0" w:firstLine="0"/>
        <w:rPr>
          <w:sz w:val="20"/>
        </w:rPr>
      </w:pPr>
      <w:r w:rsidRPr="00415458">
        <w:rPr>
          <w:sz w:val="20"/>
        </w:rPr>
        <w:t>Caratteri del mercato cinese e applicazione dei concetti di marketing internazionale a tale contesto</w:t>
      </w:r>
    </w:p>
    <w:p w14:paraId="0CC582A7" w14:textId="77777777" w:rsidR="002760C6" w:rsidRPr="002477DC" w:rsidRDefault="00B56EB7" w:rsidP="002477DC">
      <w:pPr>
        <w:spacing w:before="240" w:after="120" w:line="220" w:lineRule="exact"/>
        <w:rPr>
          <w:b/>
          <w:i/>
          <w:szCs w:val="24"/>
        </w:rPr>
      </w:pPr>
      <w:r w:rsidRPr="002477DC">
        <w:rPr>
          <w:b/>
          <w:i/>
          <w:szCs w:val="24"/>
        </w:rPr>
        <w:t>BIBLIOGRAFIA</w:t>
      </w:r>
      <w:r w:rsidR="002760C6" w:rsidRPr="002477DC">
        <w:rPr>
          <w:b/>
          <w:i/>
          <w:szCs w:val="24"/>
        </w:rPr>
        <w:t xml:space="preserve"> </w:t>
      </w:r>
    </w:p>
    <w:p w14:paraId="67534268" w14:textId="77777777" w:rsidR="00B56EB7" w:rsidRPr="002477DC" w:rsidRDefault="002760C6" w:rsidP="002A3C5C">
      <w:pPr>
        <w:pStyle w:val="Testo1"/>
        <w:rPr>
          <w:szCs w:val="18"/>
        </w:rPr>
      </w:pPr>
      <w:r w:rsidRPr="002477DC">
        <w:rPr>
          <w:szCs w:val="18"/>
        </w:rPr>
        <w:t xml:space="preserve">R. Fiocca, Impresa e Valore, Franco Angeli, 2017 </w:t>
      </w:r>
      <w:r w:rsidR="00415458" w:rsidRPr="002477DC">
        <w:rPr>
          <w:szCs w:val="18"/>
        </w:rPr>
        <w:t>(con esclusione dei capitoli 5, 8, 15, 17 e 18)</w:t>
      </w:r>
    </w:p>
    <w:p w14:paraId="00276C06" w14:textId="71E8750E" w:rsidR="00FA3C59" w:rsidRPr="002477DC" w:rsidRDefault="00FA3C59" w:rsidP="00FA3C59">
      <w:pPr>
        <w:pStyle w:val="Testo1"/>
        <w:rPr>
          <w:szCs w:val="18"/>
        </w:rPr>
      </w:pPr>
      <w:r w:rsidRPr="002477DC">
        <w:rPr>
          <w:szCs w:val="18"/>
        </w:rPr>
        <w:t xml:space="preserve">L. Hu, Internationali Digital Marketing in China. </w:t>
      </w:r>
      <w:r w:rsidR="008765AD" w:rsidRPr="002477DC">
        <w:rPr>
          <w:szCs w:val="18"/>
        </w:rPr>
        <w:t>Regiona</w:t>
      </w:r>
      <w:r w:rsidRPr="002477DC">
        <w:rPr>
          <w:szCs w:val="18"/>
        </w:rPr>
        <w:t xml:space="preserve">l Characteristics and Global Challenges, Palgrave Macmillan, 2020 (capitoli 1, 2, </w:t>
      </w:r>
      <w:r w:rsidR="00ED2CC4" w:rsidRPr="002477DC">
        <w:rPr>
          <w:szCs w:val="18"/>
        </w:rPr>
        <w:t xml:space="preserve">3, </w:t>
      </w:r>
      <w:r w:rsidRPr="002477DC">
        <w:rPr>
          <w:szCs w:val="18"/>
        </w:rPr>
        <w:t>4)</w:t>
      </w:r>
      <w:r w:rsidR="00A128DF" w:rsidRPr="002477DC">
        <w:rPr>
          <w:szCs w:val="18"/>
        </w:rPr>
        <w:t xml:space="preserve"> </w:t>
      </w:r>
      <w:r w:rsidR="00742817" w:rsidRPr="002477DC">
        <w:rPr>
          <w:szCs w:val="18"/>
        </w:rPr>
        <w:t>(</w:t>
      </w:r>
      <w:r w:rsidR="00A128DF" w:rsidRPr="002477DC">
        <w:rPr>
          <w:i/>
          <w:iCs/>
          <w:szCs w:val="18"/>
        </w:rPr>
        <w:t>il testo è scaricabile gratuitamente accedendo alle risorse elettroniche dell’Ateneo</w:t>
      </w:r>
      <w:r w:rsidR="00A128DF" w:rsidRPr="002477DC">
        <w:rPr>
          <w:szCs w:val="18"/>
        </w:rPr>
        <w:t>)</w:t>
      </w:r>
    </w:p>
    <w:p w14:paraId="0367C64D" w14:textId="77777777" w:rsidR="00415458" w:rsidRPr="002477DC" w:rsidRDefault="00A97F82" w:rsidP="00FA3C59">
      <w:pPr>
        <w:pStyle w:val="Testo1"/>
        <w:rPr>
          <w:szCs w:val="18"/>
        </w:rPr>
      </w:pPr>
      <w:r w:rsidRPr="002477DC">
        <w:rPr>
          <w:szCs w:val="18"/>
        </w:rPr>
        <w:t>Ulteriori materiali didattici (lucidi delle lezioni, case histories, paper) saranno resi disponibili sulla piattaforma Blackboard</w:t>
      </w:r>
      <w:r w:rsidR="00FA3C59" w:rsidRPr="002477DC">
        <w:rPr>
          <w:szCs w:val="18"/>
        </w:rPr>
        <w:t>.</w:t>
      </w:r>
    </w:p>
    <w:p w14:paraId="3F2F1A37" w14:textId="77777777" w:rsidR="00B56EB7" w:rsidRPr="002477DC" w:rsidRDefault="00B56EB7" w:rsidP="00B56EB7">
      <w:pPr>
        <w:spacing w:before="240" w:after="120" w:line="220" w:lineRule="exact"/>
        <w:rPr>
          <w:b/>
          <w:i/>
          <w:szCs w:val="24"/>
        </w:rPr>
      </w:pPr>
      <w:r w:rsidRPr="002477DC">
        <w:rPr>
          <w:b/>
          <w:i/>
          <w:szCs w:val="24"/>
        </w:rPr>
        <w:t>DIDATTICA DEL CORSO</w:t>
      </w:r>
    </w:p>
    <w:p w14:paraId="0D0D9892" w14:textId="77777777" w:rsidR="002760C6" w:rsidRPr="002A3C5C" w:rsidRDefault="002760C6" w:rsidP="002A3C5C">
      <w:pPr>
        <w:pStyle w:val="Testo2"/>
      </w:pPr>
      <w:r w:rsidRPr="002A3C5C">
        <w:t>Il corso verrà sviluppato alternando lezioni di inquadramento e analisi casi pratici.</w:t>
      </w:r>
    </w:p>
    <w:p w14:paraId="5DA2CB8A" w14:textId="77777777" w:rsidR="00B56EB7" w:rsidRPr="002477DC" w:rsidRDefault="002760C6" w:rsidP="00B56EB7">
      <w:pPr>
        <w:spacing w:before="240" w:after="120" w:line="220" w:lineRule="exact"/>
        <w:rPr>
          <w:b/>
          <w:i/>
          <w:szCs w:val="24"/>
        </w:rPr>
      </w:pPr>
      <w:r w:rsidRPr="002477DC">
        <w:rPr>
          <w:b/>
          <w:i/>
          <w:szCs w:val="24"/>
        </w:rPr>
        <w:t>M</w:t>
      </w:r>
      <w:r w:rsidR="008765AD" w:rsidRPr="002477DC">
        <w:rPr>
          <w:b/>
          <w:i/>
          <w:szCs w:val="24"/>
        </w:rPr>
        <w:t>ETODO</w:t>
      </w:r>
      <w:r w:rsidR="00B56EB7" w:rsidRPr="002477DC">
        <w:rPr>
          <w:b/>
          <w:i/>
          <w:szCs w:val="24"/>
        </w:rPr>
        <w:t xml:space="preserve"> </w:t>
      </w:r>
      <w:r w:rsidR="008765AD" w:rsidRPr="002477DC">
        <w:rPr>
          <w:b/>
          <w:i/>
          <w:szCs w:val="24"/>
        </w:rPr>
        <w:t xml:space="preserve">E CRITERI DI </w:t>
      </w:r>
      <w:r w:rsidR="00B56EB7" w:rsidRPr="002477DC">
        <w:rPr>
          <w:b/>
          <w:i/>
          <w:szCs w:val="24"/>
        </w:rPr>
        <w:t>VALUTAZIONE</w:t>
      </w:r>
    </w:p>
    <w:p w14:paraId="4967574E" w14:textId="77777777" w:rsidR="00263CC0" w:rsidRDefault="00263CC0" w:rsidP="00263CC0">
      <w:pPr>
        <w:pStyle w:val="Testo2"/>
      </w:pPr>
      <w:r w:rsidRPr="002A3C5C">
        <w:t>L’esame verte sulla bibliografia indicata oltre ai materiali che saranno caricati su Blackboard</w:t>
      </w:r>
      <w:r>
        <w:t>.</w:t>
      </w:r>
    </w:p>
    <w:p w14:paraId="700E478A" w14:textId="07631ECC" w:rsidR="002478C7" w:rsidRDefault="002478C7" w:rsidP="002477DC">
      <w:pPr>
        <w:pStyle w:val="Testo2"/>
        <w:spacing w:before="120"/>
        <w:rPr>
          <w:i/>
        </w:rPr>
      </w:pPr>
      <w:r w:rsidRPr="002478C7">
        <w:rPr>
          <w:i/>
        </w:rPr>
        <w:lastRenderedPageBreak/>
        <w:t>Per studenti frequentanti</w:t>
      </w:r>
    </w:p>
    <w:p w14:paraId="00A135B4" w14:textId="70748AC3" w:rsidR="00B673B1" w:rsidRPr="00B673B1" w:rsidRDefault="00B673B1" w:rsidP="002A3C5C">
      <w:pPr>
        <w:pStyle w:val="Testo2"/>
        <w:rPr>
          <w:iCs/>
        </w:rPr>
      </w:pPr>
      <w:r w:rsidRPr="00B673B1">
        <w:rPr>
          <w:iCs/>
        </w:rPr>
        <w:t xml:space="preserve">La valutazione finale è data dalla media pesata dei due voti (in 30/30) presi dallo studente </w:t>
      </w:r>
      <w:r>
        <w:rPr>
          <w:iCs/>
        </w:rPr>
        <w:t>nelle segueni parti:</w:t>
      </w:r>
    </w:p>
    <w:p w14:paraId="6EDB72AA" w14:textId="65592004" w:rsidR="002478C7" w:rsidRDefault="002478C7" w:rsidP="002478C7">
      <w:pPr>
        <w:pStyle w:val="Testo2"/>
        <w:numPr>
          <w:ilvl w:val="0"/>
          <w:numId w:val="2"/>
        </w:numPr>
      </w:pPr>
      <w:r>
        <w:t xml:space="preserve">una prova </w:t>
      </w:r>
      <w:r w:rsidR="002760C6" w:rsidRPr="002A3C5C">
        <w:t xml:space="preserve">in forma scritta </w:t>
      </w:r>
      <w:r w:rsidR="00182B0B">
        <w:t xml:space="preserve">e </w:t>
      </w:r>
      <w:r w:rsidR="002760C6" w:rsidRPr="002A3C5C">
        <w:t xml:space="preserve">composta da </w:t>
      </w:r>
      <w:r w:rsidR="00245155">
        <w:t xml:space="preserve">due </w:t>
      </w:r>
      <w:r w:rsidR="002760C6" w:rsidRPr="002A3C5C">
        <w:t>domande aperte</w:t>
      </w:r>
      <w:r w:rsidR="00263CC0">
        <w:t xml:space="preserve"> valutate in trentesimi</w:t>
      </w:r>
      <w:r w:rsidR="00245155">
        <w:t xml:space="preserve">, </w:t>
      </w:r>
      <w:r w:rsidR="00182B0B" w:rsidRPr="00182B0B">
        <w:t xml:space="preserve">da sostenersi una volta sola nella settimana degli "esoneri" oppure in uno degli appelli della sessione estiva. </w:t>
      </w:r>
      <w:r>
        <w:t xml:space="preserve">Il voto della prova </w:t>
      </w:r>
      <w:r w:rsidR="00245155">
        <w:t xml:space="preserve">scritta </w:t>
      </w:r>
      <w:r>
        <w:t>equivale a 50% del voto finale</w:t>
      </w:r>
      <w:r w:rsidR="00B673B1">
        <w:t>.</w:t>
      </w:r>
    </w:p>
    <w:p w14:paraId="73CAD592" w14:textId="3A94B209" w:rsidR="002478C7" w:rsidRDefault="002478C7" w:rsidP="002478C7">
      <w:pPr>
        <w:pStyle w:val="Testo2"/>
        <w:numPr>
          <w:ilvl w:val="0"/>
          <w:numId w:val="2"/>
        </w:numPr>
      </w:pPr>
      <w:r>
        <w:t>un project work da svolgere in gruppo</w:t>
      </w:r>
      <w:r w:rsidR="00245155">
        <w:t xml:space="preserve"> su un caso studio</w:t>
      </w:r>
      <w:r>
        <w:t>. L’output richiesto</w:t>
      </w:r>
      <w:r w:rsidR="00263CC0">
        <w:t>,</w:t>
      </w:r>
      <w:r>
        <w:t xml:space="preserve"> </w:t>
      </w:r>
      <w:r w:rsidR="00263CC0">
        <w:t xml:space="preserve">valutato in trentesimi, </w:t>
      </w:r>
      <w:r>
        <w:t>è un report scritto e una presentazione in forma orale</w:t>
      </w:r>
      <w:r w:rsidR="00263CC0">
        <w:t>. Il voto del project work equivale a</w:t>
      </w:r>
      <w:r w:rsidR="00415458">
        <w:t>l</w:t>
      </w:r>
      <w:r w:rsidR="00263CC0">
        <w:t xml:space="preserve"> 50% del voto finale. </w:t>
      </w:r>
    </w:p>
    <w:p w14:paraId="4C2568AC" w14:textId="31EDEB72" w:rsidR="00B673B1" w:rsidRDefault="00B673B1" w:rsidP="00B673B1">
      <w:pPr>
        <w:pStyle w:val="Testo2"/>
        <w:ind w:left="284" w:firstLine="0"/>
      </w:pPr>
      <w:r w:rsidRPr="00B673B1">
        <w:t>La lode verrà assegnata a discrezione de</w:t>
      </w:r>
      <w:r>
        <w:t>i</w:t>
      </w:r>
      <w:r w:rsidRPr="00B673B1">
        <w:t xml:space="preserve"> docenti</w:t>
      </w:r>
      <w:r>
        <w:t>.</w:t>
      </w:r>
    </w:p>
    <w:p w14:paraId="382B9BF6" w14:textId="77777777" w:rsidR="00263CC0" w:rsidRPr="002478C7" w:rsidRDefault="00263CC0" w:rsidP="002477DC">
      <w:pPr>
        <w:pStyle w:val="Testo2"/>
        <w:spacing w:before="120"/>
        <w:rPr>
          <w:i/>
        </w:rPr>
      </w:pPr>
      <w:r w:rsidRPr="002478C7">
        <w:rPr>
          <w:i/>
        </w:rPr>
        <w:t xml:space="preserve">Per studenti </w:t>
      </w:r>
      <w:r>
        <w:rPr>
          <w:i/>
        </w:rPr>
        <w:t xml:space="preserve">non </w:t>
      </w:r>
      <w:r w:rsidRPr="002478C7">
        <w:rPr>
          <w:i/>
        </w:rPr>
        <w:t>frequentanti</w:t>
      </w:r>
    </w:p>
    <w:p w14:paraId="7C0B023B" w14:textId="5F3760C7" w:rsidR="00263CC0" w:rsidRDefault="00263CC0" w:rsidP="00263CC0">
      <w:pPr>
        <w:pStyle w:val="Testo2"/>
        <w:ind w:left="284" w:firstLine="0"/>
      </w:pPr>
      <w:r>
        <w:t xml:space="preserve">Una prova finale sull’intero programma del corso </w:t>
      </w:r>
      <w:r w:rsidRPr="002A3C5C">
        <w:t>in forma scritta e composta da</w:t>
      </w:r>
      <w:r w:rsidR="00245155">
        <w:t xml:space="preserve"> quattro</w:t>
      </w:r>
      <w:r w:rsidRPr="002A3C5C">
        <w:t xml:space="preserve"> domande aperte </w:t>
      </w:r>
      <w:r>
        <w:t>valutate in trentesimi.</w:t>
      </w:r>
      <w:r w:rsidR="00245155">
        <w:t xml:space="preserve"> La prova può essere sostenuta in tutti gli appelli ufficiali.</w:t>
      </w:r>
    </w:p>
    <w:p w14:paraId="66DA0C79" w14:textId="77777777" w:rsidR="00ED2CC4" w:rsidRDefault="00ED2CC4" w:rsidP="00ED2CC4">
      <w:pPr>
        <w:pStyle w:val="Testo2"/>
        <w:ind w:left="284" w:firstLine="0"/>
      </w:pPr>
      <w:r w:rsidRPr="00B673B1">
        <w:t>La lode verrà assegnata a discrezione de</w:t>
      </w:r>
      <w:r>
        <w:t>i</w:t>
      </w:r>
      <w:r w:rsidRPr="00B673B1">
        <w:t xml:space="preserve"> docenti</w:t>
      </w:r>
      <w:r>
        <w:t>.</w:t>
      </w:r>
    </w:p>
    <w:p w14:paraId="3408A15C" w14:textId="77777777" w:rsidR="002478C7" w:rsidRPr="00C6384C" w:rsidRDefault="002478C7" w:rsidP="002477DC">
      <w:pPr>
        <w:spacing w:before="240" w:after="120" w:line="220" w:lineRule="exact"/>
        <w:rPr>
          <w:b/>
          <w:i/>
          <w:sz w:val="18"/>
          <w:szCs w:val="18"/>
        </w:rPr>
      </w:pPr>
      <w:r w:rsidRPr="00C6384C">
        <w:rPr>
          <w:b/>
          <w:i/>
          <w:sz w:val="18"/>
          <w:szCs w:val="18"/>
        </w:rPr>
        <w:t>AVVERTENZE E PREREQUISITI</w:t>
      </w:r>
    </w:p>
    <w:p w14:paraId="4A2307C2" w14:textId="4F8E344E" w:rsidR="004F3CD5" w:rsidRDefault="002478C7" w:rsidP="00C6384C">
      <w:pPr>
        <w:pStyle w:val="Testo2"/>
      </w:pPr>
      <w:r w:rsidRPr="002477DC">
        <w:t>Lo studente dovrà possedere conoscenze di base relative ai concetti di marketing.</w:t>
      </w:r>
    </w:p>
    <w:p w14:paraId="1D7966AF" w14:textId="1279C10B" w:rsidR="003514C3" w:rsidRPr="003514C3" w:rsidRDefault="003514C3" w:rsidP="00C6384C">
      <w:pPr>
        <w:pStyle w:val="Testo2"/>
        <w:rPr>
          <w:sz w:val="12"/>
        </w:rPr>
      </w:pPr>
      <w:r>
        <w:rPr>
          <w:rFonts w:cs="Times"/>
          <w:szCs w:val="18"/>
        </w:rPr>
        <w:t>Il materiale didattico prodotto durante il corso ed eventuale materiale utile alla</w:t>
      </w:r>
      <w:r>
        <w:rPr>
          <w:sz w:val="24"/>
        </w:rPr>
        <w:t xml:space="preserve"> </w:t>
      </w:r>
      <w:r w:rsidRPr="003514C3">
        <w:t>preparazione dell’esame sarà reso disponibile on-line.</w:t>
      </w:r>
    </w:p>
    <w:p w14:paraId="75D26288" w14:textId="3BD42153" w:rsidR="00657EE1" w:rsidRPr="00C6384C" w:rsidRDefault="00C6384C" w:rsidP="00C6384C">
      <w:pPr>
        <w:pStyle w:val="Testo2"/>
        <w:spacing w:before="120"/>
        <w:rPr>
          <w:bCs/>
          <w:i/>
          <w:szCs w:val="24"/>
        </w:rPr>
      </w:pPr>
      <w:r>
        <w:rPr>
          <w:bCs/>
          <w:i/>
          <w:szCs w:val="24"/>
        </w:rPr>
        <w:t>O</w:t>
      </w:r>
      <w:r w:rsidRPr="00C6384C">
        <w:rPr>
          <w:bCs/>
          <w:i/>
          <w:szCs w:val="24"/>
        </w:rPr>
        <w:t>rario e luogo di ricevimento degli studenti</w:t>
      </w:r>
    </w:p>
    <w:p w14:paraId="572C402F" w14:textId="2E32AE73" w:rsidR="00657EE1" w:rsidRPr="00657EE1" w:rsidRDefault="00657EE1" w:rsidP="00C6384C">
      <w:pPr>
        <w:pStyle w:val="Testo2"/>
        <w:rPr>
          <w:szCs w:val="24"/>
        </w:rPr>
      </w:pPr>
      <w:r>
        <w:rPr>
          <w:szCs w:val="24"/>
        </w:rPr>
        <w:t>Il prof. Renato Fiocca riceve gli studenti nell’ufficio 522 previo appuntamento via e-mail.  La prof.ssa Lala Hu riceve gli studenti nell’ufficio 522 previo appuntamento via e- mail.</w:t>
      </w:r>
    </w:p>
    <w:sectPr w:rsidR="00657EE1" w:rsidRPr="00657EE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3A8E" w14:textId="77777777" w:rsidR="00087C43" w:rsidRDefault="00087C43" w:rsidP="00B56EB7">
      <w:pPr>
        <w:spacing w:line="240" w:lineRule="auto"/>
      </w:pPr>
      <w:r>
        <w:separator/>
      </w:r>
    </w:p>
  </w:endnote>
  <w:endnote w:type="continuationSeparator" w:id="0">
    <w:p w14:paraId="44DD86BA" w14:textId="77777777" w:rsidR="00087C43" w:rsidRDefault="00087C43" w:rsidP="00B56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F960B" w14:textId="77777777" w:rsidR="00087C43" w:rsidRDefault="00087C43" w:rsidP="00B56EB7">
      <w:pPr>
        <w:spacing w:line="240" w:lineRule="auto"/>
      </w:pPr>
      <w:r>
        <w:separator/>
      </w:r>
    </w:p>
  </w:footnote>
  <w:footnote w:type="continuationSeparator" w:id="0">
    <w:p w14:paraId="2FA212FF" w14:textId="77777777" w:rsidR="00087C43" w:rsidRDefault="00087C43" w:rsidP="00B56E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2617D"/>
    <w:multiLevelType w:val="hybridMultilevel"/>
    <w:tmpl w:val="384E66C6"/>
    <w:lvl w:ilvl="0" w:tplc="ACEA0E6A">
      <w:start w:val="1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3F3228BA"/>
    <w:multiLevelType w:val="hybridMultilevel"/>
    <w:tmpl w:val="4BD0BD1C"/>
    <w:lvl w:ilvl="0" w:tplc="D464A690">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65317D"/>
    <w:multiLevelType w:val="hybridMultilevel"/>
    <w:tmpl w:val="B3EA9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C8259C"/>
    <w:multiLevelType w:val="hybridMultilevel"/>
    <w:tmpl w:val="22CC50D4"/>
    <w:lvl w:ilvl="0" w:tplc="7516367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7516367C">
      <w:numFmt w:val="bullet"/>
      <w:lvlText w:val="•"/>
      <w:lvlJc w:val="left"/>
      <w:pPr>
        <w:ind w:left="2880" w:hanging="360"/>
      </w:pPr>
      <w:rPr>
        <w:rFonts w:ascii="Times New Roman" w:eastAsiaTheme="minorEastAsia" w:hAnsi="Times New Roman" w:cs="Times New Roman"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82075557">
    <w:abstractNumId w:val="2"/>
  </w:num>
  <w:num w:numId="2" w16cid:durableId="148638110">
    <w:abstractNumId w:val="0"/>
  </w:num>
  <w:num w:numId="3" w16cid:durableId="877089335">
    <w:abstractNumId w:val="3"/>
  </w:num>
  <w:num w:numId="4" w16cid:durableId="331614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EB7"/>
    <w:rsid w:val="00030FB8"/>
    <w:rsid w:val="0003205B"/>
    <w:rsid w:val="00053C33"/>
    <w:rsid w:val="0006583E"/>
    <w:rsid w:val="00087C43"/>
    <w:rsid w:val="000D3CC8"/>
    <w:rsid w:val="000D3DBD"/>
    <w:rsid w:val="00106CB3"/>
    <w:rsid w:val="00135B83"/>
    <w:rsid w:val="00163F7F"/>
    <w:rsid w:val="00171199"/>
    <w:rsid w:val="00182B0B"/>
    <w:rsid w:val="00243C07"/>
    <w:rsid w:val="00245155"/>
    <w:rsid w:val="002477DC"/>
    <w:rsid w:val="002478C7"/>
    <w:rsid w:val="00253F4D"/>
    <w:rsid w:val="00263CC0"/>
    <w:rsid w:val="002760C6"/>
    <w:rsid w:val="00287606"/>
    <w:rsid w:val="0029709C"/>
    <w:rsid w:val="002A080E"/>
    <w:rsid w:val="002A3C5C"/>
    <w:rsid w:val="002B5919"/>
    <w:rsid w:val="002D131C"/>
    <w:rsid w:val="003514C3"/>
    <w:rsid w:val="003A66D8"/>
    <w:rsid w:val="00415458"/>
    <w:rsid w:val="0042759F"/>
    <w:rsid w:val="0043788D"/>
    <w:rsid w:val="004C3918"/>
    <w:rsid w:val="004D1217"/>
    <w:rsid w:val="004D6008"/>
    <w:rsid w:val="004E09EA"/>
    <w:rsid w:val="004F3CD5"/>
    <w:rsid w:val="00577597"/>
    <w:rsid w:val="00591983"/>
    <w:rsid w:val="00642CB6"/>
    <w:rsid w:val="00657EE1"/>
    <w:rsid w:val="006E00BA"/>
    <w:rsid w:val="006E1E43"/>
    <w:rsid w:val="006E4992"/>
    <w:rsid w:val="006F1772"/>
    <w:rsid w:val="00704CEF"/>
    <w:rsid w:val="00742817"/>
    <w:rsid w:val="007514A5"/>
    <w:rsid w:val="00756B2E"/>
    <w:rsid w:val="00815981"/>
    <w:rsid w:val="008765AD"/>
    <w:rsid w:val="0088032A"/>
    <w:rsid w:val="008938E1"/>
    <w:rsid w:val="00910727"/>
    <w:rsid w:val="00930AED"/>
    <w:rsid w:val="00940DA2"/>
    <w:rsid w:val="00964D5B"/>
    <w:rsid w:val="009B557D"/>
    <w:rsid w:val="00A128DF"/>
    <w:rsid w:val="00A13BA2"/>
    <w:rsid w:val="00A85108"/>
    <w:rsid w:val="00A97F82"/>
    <w:rsid w:val="00B27169"/>
    <w:rsid w:val="00B32D17"/>
    <w:rsid w:val="00B56EB7"/>
    <w:rsid w:val="00B673B1"/>
    <w:rsid w:val="00C54690"/>
    <w:rsid w:val="00C6384C"/>
    <w:rsid w:val="00CC2096"/>
    <w:rsid w:val="00CF76E9"/>
    <w:rsid w:val="00D0112D"/>
    <w:rsid w:val="00DC596F"/>
    <w:rsid w:val="00E44364"/>
    <w:rsid w:val="00E63A17"/>
    <w:rsid w:val="00EB150D"/>
    <w:rsid w:val="00ED2CC4"/>
    <w:rsid w:val="00ED47F0"/>
    <w:rsid w:val="00EF60EC"/>
    <w:rsid w:val="00F65B57"/>
    <w:rsid w:val="00FA3C5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D20B0"/>
  <w15:docId w15:val="{1400400E-E3C0-4B54-90EF-4B8FF1FE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56EB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56EB7"/>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B56EB7"/>
    <w:rPr>
      <w:rFonts w:ascii="Times" w:hAnsi="Times"/>
      <w:smallCaps/>
      <w:noProof/>
      <w:sz w:val="18"/>
    </w:rPr>
  </w:style>
  <w:style w:type="paragraph" w:styleId="Intestazione">
    <w:name w:val="header"/>
    <w:basedOn w:val="Normale"/>
    <w:link w:val="IntestazioneCarattere"/>
    <w:uiPriority w:val="99"/>
    <w:unhideWhenUsed/>
    <w:rsid w:val="00B56EB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56EB7"/>
    <w:rPr>
      <w:rFonts w:eastAsia="Calibri"/>
      <w:szCs w:val="22"/>
      <w:lang w:eastAsia="en-US"/>
    </w:rPr>
  </w:style>
  <w:style w:type="paragraph" w:styleId="Pidipagina">
    <w:name w:val="footer"/>
    <w:basedOn w:val="Normale"/>
    <w:link w:val="PidipaginaCarattere"/>
    <w:unhideWhenUsed/>
    <w:rsid w:val="00B56EB7"/>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B56EB7"/>
    <w:rPr>
      <w:rFonts w:eastAsia="Calibri"/>
      <w:szCs w:val="22"/>
      <w:lang w:eastAsia="en-US"/>
    </w:rPr>
  </w:style>
  <w:style w:type="character" w:customStyle="1" w:styleId="fnt0">
    <w:name w:val="fnt0"/>
    <w:basedOn w:val="Carpredefinitoparagrafo"/>
    <w:rsid w:val="002760C6"/>
  </w:style>
  <w:style w:type="paragraph" w:styleId="Paragrafoelenco">
    <w:name w:val="List Paragraph"/>
    <w:basedOn w:val="Normale"/>
    <w:uiPriority w:val="34"/>
    <w:qFormat/>
    <w:rsid w:val="002D131C"/>
    <w:pPr>
      <w:tabs>
        <w:tab w:val="left" w:pos="284"/>
      </w:tabs>
      <w:spacing w:line="240" w:lineRule="exact"/>
      <w:ind w:left="720"/>
      <w:contextualSpacing/>
    </w:pPr>
    <w:rPr>
      <w:rFonts w:eastAsia="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98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760</Words>
  <Characters>4636</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5</cp:revision>
  <cp:lastPrinted>2003-03-27T09:42:00Z</cp:lastPrinted>
  <dcterms:created xsi:type="dcterms:W3CDTF">2023-04-27T10:15:00Z</dcterms:created>
  <dcterms:modified xsi:type="dcterms:W3CDTF">2023-04-27T10:16:00Z</dcterms:modified>
</cp:coreProperties>
</file>