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3819" w14:textId="77777777" w:rsidR="005B0D35" w:rsidRPr="00A87FDE" w:rsidRDefault="005B0D35" w:rsidP="00205D70">
      <w:pPr>
        <w:jc w:val="both"/>
        <w:rPr>
          <w:b/>
          <w:bCs/>
          <w:sz w:val="20"/>
          <w:szCs w:val="18"/>
        </w:rPr>
      </w:pPr>
      <w:r w:rsidRPr="00A87FDE">
        <w:rPr>
          <w:b/>
          <w:bCs/>
          <w:sz w:val="20"/>
          <w:szCs w:val="18"/>
        </w:rPr>
        <w:t>D</w:t>
      </w:r>
      <w:r w:rsidR="001D7759" w:rsidRPr="00A87FDE">
        <w:rPr>
          <w:b/>
          <w:bCs/>
          <w:sz w:val="20"/>
          <w:szCs w:val="18"/>
        </w:rPr>
        <w:t>iritto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societario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e</w:t>
      </w:r>
      <w:r w:rsidR="00041EAD">
        <w:rPr>
          <w:b/>
          <w:bCs/>
          <w:sz w:val="20"/>
          <w:szCs w:val="18"/>
        </w:rPr>
        <w:t xml:space="preserve"> </w:t>
      </w:r>
      <w:r w:rsidR="001D7759" w:rsidRPr="00A87FDE">
        <w:rPr>
          <w:b/>
          <w:bCs/>
          <w:sz w:val="20"/>
          <w:szCs w:val="18"/>
        </w:rPr>
        <w:t>fallimentare</w:t>
      </w:r>
    </w:p>
    <w:p w14:paraId="0AFFC3AB" w14:textId="77777777" w:rsidR="005B0D35" w:rsidRPr="00A87FDE" w:rsidRDefault="005B0D35" w:rsidP="00205D70">
      <w:pPr>
        <w:jc w:val="both"/>
        <w:rPr>
          <w:smallCaps/>
          <w:sz w:val="18"/>
          <w:szCs w:val="18"/>
        </w:rPr>
      </w:pPr>
      <w:r w:rsidRPr="00A87FDE">
        <w:rPr>
          <w:smallCaps/>
          <w:sz w:val="18"/>
          <w:szCs w:val="18"/>
        </w:rPr>
        <w:t>Prof.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Maria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Chiara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Malaguti</w:t>
      </w:r>
      <w:r w:rsidR="001D7759" w:rsidRPr="00A87FDE">
        <w:rPr>
          <w:smallCaps/>
          <w:sz w:val="18"/>
          <w:szCs w:val="18"/>
        </w:rPr>
        <w:t>;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Prof.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Monica</w:t>
      </w:r>
      <w:r w:rsidR="00041EAD">
        <w:rPr>
          <w:smallCaps/>
          <w:sz w:val="18"/>
          <w:szCs w:val="18"/>
        </w:rPr>
        <w:t xml:space="preserve"> </w:t>
      </w:r>
      <w:r w:rsidRPr="00A87FDE">
        <w:rPr>
          <w:smallCaps/>
          <w:sz w:val="18"/>
          <w:szCs w:val="18"/>
        </w:rPr>
        <w:t>Marcucci</w:t>
      </w:r>
    </w:p>
    <w:p w14:paraId="11022D86" w14:textId="77777777" w:rsidR="00A87FDE" w:rsidRDefault="00A87FDE" w:rsidP="00A87FDE">
      <w:pPr>
        <w:spacing w:before="240" w:after="120" w:line="240" w:lineRule="atLeast"/>
        <w:jc w:val="both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OBIETTIVI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RISULTATI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APPRENDIMENTO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ATTESI</w:t>
      </w:r>
    </w:p>
    <w:p w14:paraId="1B991C36" w14:textId="77777777" w:rsidR="005B0D35" w:rsidRPr="00A87FDE" w:rsidRDefault="00205D70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</w:t>
      </w:r>
      <w:r w:rsidRPr="00A87FDE">
        <w:rPr>
          <w:sz w:val="20"/>
          <w:szCs w:val="18"/>
        </w:rPr>
        <w:t>uò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essere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affrontato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diversi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approcci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svariati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punti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vista.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studenti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nei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loro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studi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precedenti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affrontato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base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formazione,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governo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cessazione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generale,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quelle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responsabilità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limitata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particolare.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L'obiettivo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sarà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affrontare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modo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avanzato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specifiche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concentrandosi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particolare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diversi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aspetti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giorno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d'oggi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tra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più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pregnanti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comprensione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materia.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teoria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responsabilità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sociale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impresa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(RSI)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lentamente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fatto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riconsiderare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premesse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insieme,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momento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governo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dell’impresa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subito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riconsiderazioni,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così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cosiddetti</w:t>
      </w:r>
      <w:r w:rsidR="00041EAD">
        <w:rPr>
          <w:sz w:val="20"/>
          <w:szCs w:val="18"/>
        </w:rPr>
        <w:t xml:space="preserve"> </w:t>
      </w:r>
      <w:r w:rsidRPr="00A87FDE">
        <w:rPr>
          <w:i/>
          <w:iCs/>
          <w:sz w:val="20"/>
          <w:szCs w:val="18"/>
        </w:rPr>
        <w:t>stakeholders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(</w:t>
      </w:r>
      <w:r w:rsidRPr="00A87FDE">
        <w:rPr>
          <w:sz w:val="20"/>
          <w:szCs w:val="18"/>
        </w:rPr>
        <w:t>ovvero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coloro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interesse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contatto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</w:t>
      </w:r>
      <w:r w:rsidR="005B0D35" w:rsidRPr="00A87FDE">
        <w:rPr>
          <w:sz w:val="20"/>
          <w:szCs w:val="18"/>
        </w:rPr>
        <w:t>'impresa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soci</w:t>
      </w:r>
      <w:r w:rsidR="005B0D35" w:rsidRPr="00A87FDE">
        <w:rPr>
          <w:sz w:val="20"/>
          <w:szCs w:val="18"/>
        </w:rPr>
        <w:t>)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giocano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nuovo.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D'altra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parte,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nuove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italiane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sull</w:t>
      </w:r>
      <w:r w:rsidR="008249B2" w:rsidRPr="00A87FDE">
        <w:rPr>
          <w:sz w:val="20"/>
          <w:szCs w:val="18"/>
        </w:rPr>
        <w:t>’insolvenza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rivoluzionato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alcuni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non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del</w:t>
      </w:r>
      <w:r w:rsidR="008249B2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cessazione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imprese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sé</w:t>
      </w:r>
      <w:r w:rsidR="005B0D35"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anche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dell’</w:t>
      </w:r>
      <w:r w:rsidR="005B0D35" w:rsidRPr="00A87FDE">
        <w:rPr>
          <w:sz w:val="20"/>
          <w:szCs w:val="18"/>
        </w:rPr>
        <w:t>insolvenza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riorganizzazione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impresa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societario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generale</w:t>
      </w:r>
      <w:r w:rsidR="005B0D35" w:rsidRPr="00A87FDE">
        <w:rPr>
          <w:sz w:val="20"/>
          <w:szCs w:val="18"/>
        </w:rPr>
        <w:t>.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entrambi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casi,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svolto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un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ruolo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rilevante</w:t>
      </w:r>
      <w:r w:rsidR="00041EAD">
        <w:rPr>
          <w:sz w:val="20"/>
          <w:szCs w:val="18"/>
        </w:rPr>
        <w:t xml:space="preserve"> </w:t>
      </w:r>
      <w:r w:rsidR="008249B2"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modellare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legislazione</w:t>
      </w:r>
      <w:r w:rsidR="00041EAD">
        <w:rPr>
          <w:sz w:val="20"/>
          <w:szCs w:val="18"/>
        </w:rPr>
        <w:t xml:space="preserve"> </w:t>
      </w:r>
      <w:r w:rsidR="005B0D35" w:rsidRPr="00A87FDE">
        <w:rPr>
          <w:sz w:val="20"/>
          <w:szCs w:val="18"/>
        </w:rPr>
        <w:t>italiana.</w:t>
      </w:r>
    </w:p>
    <w:p w14:paraId="253AD080" w14:textId="77777777" w:rsidR="00B80824" w:rsidRPr="00A87FDE" w:rsidRDefault="00B80824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affronterà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descritte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aree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concentrandosi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più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recenti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giurisprudenza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facendo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riferimento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influenzate.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esistenti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risultato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dell'analisi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comparata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sistemi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raggiungimento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una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comprensione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comune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–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anche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termini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analisi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economica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-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alcuni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fenomeni.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illustrerà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legislazione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rispecchiato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tale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quali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scelte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politiche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adottate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legislatore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varie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circostanze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filtro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europea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diviene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essenziale,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poiché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alcune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materie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regolate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realtà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competenza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dell'UE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conseguenza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l'Italia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dovere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conformarsi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adottate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dall’Unione.</w:t>
      </w:r>
    </w:p>
    <w:p w14:paraId="0837F201" w14:textId="77777777" w:rsidR="00B80824" w:rsidRPr="00A87FDE" w:rsidRDefault="00B80824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fine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studenti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saranno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grado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di:</w:t>
      </w:r>
    </w:p>
    <w:p w14:paraId="654BC735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Conoscere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maggiori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testi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riferimento,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dell’Unione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Europea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tema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</w:p>
    <w:p w14:paraId="27263AF6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Conoscere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maggiori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problematiche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nuovo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</w:t>
      </w:r>
    </w:p>
    <w:p w14:paraId="00B0A8C4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Comprendere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contesto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ha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generato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quella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dell’insolvenza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ovvero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l’ordinamento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dibattito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all’uniformazione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diritto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</w:t>
      </w:r>
    </w:p>
    <w:p w14:paraId="14471FED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Leggere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giurisprudenza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altre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decisioni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organismi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soluzione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dispute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conciliazione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materie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economiche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(sulla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base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esempi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settori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approfondimento)</w:t>
      </w:r>
    </w:p>
    <w:p w14:paraId="07A08DD6" w14:textId="77777777" w:rsidR="00B80824" w:rsidRPr="00A87FDE" w:rsidRDefault="00B80824" w:rsidP="00A87FDE">
      <w:pPr>
        <w:numPr>
          <w:ilvl w:val="0"/>
          <w:numId w:val="3"/>
        </w:numPr>
        <w:ind w:left="284" w:hanging="284"/>
        <w:jc w:val="both"/>
        <w:rPr>
          <w:sz w:val="20"/>
          <w:szCs w:val="18"/>
        </w:rPr>
      </w:pPr>
      <w:r w:rsidRPr="00A87FDE">
        <w:rPr>
          <w:sz w:val="20"/>
          <w:szCs w:val="18"/>
        </w:rPr>
        <w:t>Elaborare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criticamente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problematiche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discusse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affrontare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casi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concreti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luce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studiati.</w:t>
      </w:r>
    </w:p>
    <w:p w14:paraId="356DF557" w14:textId="77777777" w:rsidR="00A87FDE" w:rsidRDefault="00A87FDE" w:rsidP="00A87FDE">
      <w:pPr>
        <w:spacing w:before="240" w:after="12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lastRenderedPageBreak/>
        <w:t>PROGRAMMA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</w:p>
    <w:p w14:paraId="5669DB57" w14:textId="77777777" w:rsidR="005B0D35" w:rsidRPr="00A87FDE" w:rsidRDefault="005B0D35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corso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è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organizzato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due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moduli:</w:t>
      </w:r>
    </w:p>
    <w:p w14:paraId="36107AC3" w14:textId="77777777" w:rsidR="005B0D35" w:rsidRPr="00A87FDE" w:rsidRDefault="005B0D35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a)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RSI,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tenuto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205D70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Prof.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Malaguti,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analizzate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provenienti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Global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Compact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(uno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strumento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settore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privato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implementa</w:t>
      </w:r>
      <w:r w:rsidR="00205D70" w:rsidRPr="00A87FDE">
        <w:rPr>
          <w:sz w:val="20"/>
          <w:szCs w:val="18"/>
        </w:rPr>
        <w:t>zione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degli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Obiettivi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Sviluppo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</w:t>
      </w:r>
      <w:r w:rsidRPr="00A87FDE">
        <w:rPr>
          <w:sz w:val="20"/>
          <w:szCs w:val="18"/>
        </w:rPr>
        <w:t>ostenibile)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al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fine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illustrare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complessità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fonti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prospettive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tema.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italiane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lette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relazione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misure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internazionali.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Saranno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inoltre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studiati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u</w:t>
      </w:r>
      <w:r w:rsidRPr="00A87FDE">
        <w:rPr>
          <w:sz w:val="20"/>
          <w:szCs w:val="18"/>
        </w:rPr>
        <w:t>n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certo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numero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casi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</w:t>
      </w:r>
      <w:r w:rsidR="00205D70" w:rsidRPr="00A87FDE">
        <w:rPr>
          <w:sz w:val="20"/>
          <w:szCs w:val="18"/>
        </w:rPr>
        <w:t>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tribunali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nazionali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o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altr</w:t>
      </w:r>
      <w:r w:rsidR="00205D70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organi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soluzione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controversie</w:t>
      </w:r>
      <w:r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nonché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lodi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rilevanti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arbitrat</w:t>
      </w:r>
      <w:r w:rsidR="00205D70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internazionale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ed</w:t>
      </w:r>
      <w:r w:rsidR="00041EAD">
        <w:rPr>
          <w:sz w:val="20"/>
          <w:szCs w:val="18"/>
        </w:rPr>
        <w:t xml:space="preserve"> </w:t>
      </w:r>
      <w:r w:rsidR="00205D70" w:rsidRPr="00A87FDE">
        <w:rPr>
          <w:sz w:val="20"/>
          <w:szCs w:val="18"/>
        </w:rPr>
        <w:t>altre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applicazioni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concrete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rilevanti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parte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mercato.</w:t>
      </w:r>
    </w:p>
    <w:p w14:paraId="314262BB" w14:textId="77777777" w:rsidR="005B0D35" w:rsidRPr="00A87FDE" w:rsidRDefault="005B0D35" w:rsidP="00205D70">
      <w:pPr>
        <w:jc w:val="both"/>
        <w:rPr>
          <w:sz w:val="20"/>
          <w:szCs w:val="18"/>
        </w:rPr>
      </w:pPr>
      <w:r w:rsidRPr="00A87FDE">
        <w:rPr>
          <w:sz w:val="20"/>
          <w:szCs w:val="18"/>
        </w:rPr>
        <w:t>b)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Nel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modulo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sull'insolvenza,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tenuto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dalla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Prof.</w:t>
      </w:r>
      <w:r w:rsidR="00041EAD">
        <w:rPr>
          <w:sz w:val="20"/>
          <w:szCs w:val="18"/>
        </w:rPr>
        <w:t xml:space="preserve"> </w:t>
      </w:r>
      <w:r w:rsidRPr="00A87FDE">
        <w:rPr>
          <w:sz w:val="20"/>
          <w:szCs w:val="18"/>
        </w:rPr>
        <w:t>Marcucc</w:t>
      </w:r>
      <w:r w:rsidR="008933AD" w:rsidRPr="00A87FDE">
        <w:rPr>
          <w:sz w:val="20"/>
          <w:szCs w:val="18"/>
        </w:rPr>
        <w:t>i</w:t>
      </w:r>
      <w:r w:rsidRPr="00A87FDE">
        <w:rPr>
          <w:sz w:val="20"/>
          <w:szCs w:val="18"/>
        </w:rPr>
        <w:t>,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verranno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discussi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fondanti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in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tema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gestione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crisi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d’impresa,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esaminando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gli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obiettivi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norme</w:t>
      </w:r>
      <w:r w:rsidR="00041EAD">
        <w:rPr>
          <w:sz w:val="20"/>
          <w:szCs w:val="18"/>
        </w:rPr>
        <w:t xml:space="preserve"> </w:t>
      </w:r>
      <w:r w:rsidR="008933AD" w:rsidRPr="00A87FDE">
        <w:rPr>
          <w:sz w:val="20"/>
          <w:szCs w:val="18"/>
        </w:rPr>
        <w:t>concorsuali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luce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esigenze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tutela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creditori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accesso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finanziamenti,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esigenze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corretto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funzionamento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mercato</w:t>
      </w:r>
      <w:r w:rsidRPr="00A87FDE">
        <w:rPr>
          <w:sz w:val="20"/>
          <w:szCs w:val="18"/>
        </w:rPr>
        <w:t>.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esaminerà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normativa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vigente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quella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recata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dal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recente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codice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crisi,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prestando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particolare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attenzione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agli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strumenti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ristrutturazione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riorganizzazione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società.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terrà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conto,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inoltre,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dei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principi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contenuti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nella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direttiva</w:t>
      </w:r>
      <w:r w:rsidR="00041EAD">
        <w:rPr>
          <w:sz w:val="20"/>
          <w:szCs w:val="18"/>
        </w:rPr>
        <w:t xml:space="preserve"> </w:t>
      </w:r>
      <w:r w:rsidR="002161EC" w:rsidRPr="00A87FDE">
        <w:rPr>
          <w:sz w:val="20"/>
          <w:szCs w:val="18"/>
        </w:rPr>
        <w:t>sull</w:t>
      </w:r>
      <w:r w:rsidR="00FE01F8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ristrutturazioni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preventive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degli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standard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internazionali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per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la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disciplina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delle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crisi</w:t>
      </w:r>
      <w:r w:rsidR="00041EAD">
        <w:rPr>
          <w:sz w:val="20"/>
          <w:szCs w:val="18"/>
        </w:rPr>
        <w:t xml:space="preserve"> </w:t>
      </w:r>
      <w:r w:rsidR="00FE01F8" w:rsidRPr="00A87FDE">
        <w:rPr>
          <w:sz w:val="20"/>
          <w:szCs w:val="18"/>
        </w:rPr>
        <w:t>transfrontaliere</w:t>
      </w:r>
    </w:p>
    <w:p w14:paraId="5AD27C3E" w14:textId="30787DF8" w:rsidR="00A87FDE" w:rsidRDefault="00A87FDE" w:rsidP="00A87FDE">
      <w:pPr>
        <w:spacing w:before="240" w:after="120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BIBLIOGRAFIA</w:t>
      </w:r>
    </w:p>
    <w:p w14:paraId="57F54E55" w14:textId="77777777" w:rsidR="005B0D35" w:rsidRPr="00A87FDE" w:rsidRDefault="005B0D35" w:rsidP="002F7A7B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Per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RSI:</w:t>
      </w:r>
    </w:p>
    <w:p w14:paraId="78CAFDB9" w14:textId="77777777" w:rsidR="005B0D35" w:rsidRPr="00A87FDE" w:rsidRDefault="005B0D35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</w:t>
      </w:r>
      <w:r w:rsidR="001D7759" w:rsidRPr="00A87FDE">
        <w:rPr>
          <w:sz w:val="18"/>
          <w:szCs w:val="18"/>
        </w:rPr>
        <w:t>.</w:t>
      </w:r>
      <w:r w:rsidRPr="00A87FDE">
        <w:rPr>
          <w:sz w:val="18"/>
          <w:szCs w:val="18"/>
        </w:rPr>
        <w:t>C</w:t>
      </w:r>
      <w:r w:rsidR="001D7759" w:rsidRPr="00A87FDE">
        <w:rPr>
          <w:sz w:val="18"/>
          <w:szCs w:val="18"/>
        </w:rPr>
        <w:t>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</w:t>
      </w:r>
      <w:r w:rsidR="001D7759" w:rsidRPr="00A87FDE">
        <w:rPr>
          <w:sz w:val="18"/>
          <w:szCs w:val="18"/>
        </w:rPr>
        <w:t>alaguti</w:t>
      </w:r>
      <w:r w:rsidR="00041EAD">
        <w:rPr>
          <w:sz w:val="18"/>
          <w:szCs w:val="18"/>
        </w:rPr>
        <w:t>-</w:t>
      </w:r>
      <w:r w:rsidRPr="00A87FDE">
        <w:rPr>
          <w:sz w:val="18"/>
          <w:szCs w:val="18"/>
        </w:rPr>
        <w:t>G.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Salvati,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Responsabilità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Sociale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d'Impresa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-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Percorsi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interpretativi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tra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Casi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Materiali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diritto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internazionale,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dell'Unione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Europea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ed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italiano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Wolters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Kluwer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Cedam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2017,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così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come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altri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documenti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distribuiti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nel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corso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delle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lezioni</w:t>
      </w:r>
      <w:r w:rsidR="001D7759" w:rsidRPr="00A87FDE">
        <w:rPr>
          <w:sz w:val="18"/>
          <w:szCs w:val="18"/>
        </w:rPr>
        <w:t>.</w:t>
      </w:r>
    </w:p>
    <w:p w14:paraId="1E74A329" w14:textId="77777777" w:rsidR="001D7759" w:rsidRPr="00A87FDE" w:rsidRDefault="001D7759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M.C.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Malaguti,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Responsabilità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Sociale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dell’Impresa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nel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prisma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attività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mediazione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monitoraggio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Punti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Contatto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Nazionale.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Alcune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prime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riflessioni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Castellaneta</w:t>
      </w:r>
      <w:r w:rsidR="00041EAD">
        <w:rPr>
          <w:sz w:val="18"/>
          <w:szCs w:val="18"/>
        </w:rPr>
        <w:t>-</w:t>
      </w:r>
      <w:r w:rsidRPr="00A87FDE">
        <w:rPr>
          <w:sz w:val="18"/>
          <w:szCs w:val="18"/>
        </w:rPr>
        <w:t>F.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Vessia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(a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cura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di),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Responsabilità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Sociale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d’Impresa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tra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societario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internazionale,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ESI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2019,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pp.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291-314.</w:t>
      </w:r>
    </w:p>
    <w:p w14:paraId="63699917" w14:textId="77777777" w:rsidR="005B0D35" w:rsidRPr="00A87FDE" w:rsidRDefault="005B0D35" w:rsidP="002F7A7B">
      <w:pPr>
        <w:spacing w:before="120"/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Per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sull'insolvenza:</w:t>
      </w:r>
    </w:p>
    <w:p w14:paraId="6522FB91" w14:textId="3E26C9F3" w:rsidR="005B0D35" w:rsidRPr="00A87FDE" w:rsidRDefault="009A04AF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Sciuto,</w:t>
      </w:r>
      <w:r w:rsidR="00041EAD">
        <w:rPr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Il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diritto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della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crisi</w:t>
      </w:r>
      <w:r w:rsidR="00041EAD">
        <w:rPr>
          <w:i/>
          <w:iCs/>
          <w:sz w:val="18"/>
          <w:szCs w:val="18"/>
        </w:rPr>
        <w:t xml:space="preserve"> </w:t>
      </w:r>
      <w:r w:rsidRPr="00A87FDE">
        <w:rPr>
          <w:i/>
          <w:iCs/>
          <w:sz w:val="18"/>
          <w:szCs w:val="18"/>
        </w:rPr>
        <w:t>d’impresa</w:t>
      </w:r>
      <w:r w:rsidRPr="00A87FDE">
        <w:rPr>
          <w:sz w:val="18"/>
          <w:szCs w:val="18"/>
        </w:rPr>
        <w:t>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in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A.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Cetra</w:t>
      </w:r>
      <w:r w:rsidR="00041EAD">
        <w:rPr>
          <w:sz w:val="18"/>
          <w:szCs w:val="18"/>
        </w:rPr>
        <w:t>-</w:t>
      </w:r>
      <w:r w:rsidR="001D7759" w:rsidRPr="00A87FDE">
        <w:rPr>
          <w:sz w:val="18"/>
          <w:szCs w:val="18"/>
        </w:rPr>
        <w:t>M.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Cian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(a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cura</w:t>
      </w:r>
      <w:r w:rsidR="00041EAD">
        <w:rPr>
          <w:sz w:val="18"/>
          <w:szCs w:val="18"/>
        </w:rPr>
        <w:t xml:space="preserve"> </w:t>
      </w:r>
      <w:r w:rsidR="001D7759" w:rsidRPr="00A87FDE">
        <w:rPr>
          <w:sz w:val="18"/>
          <w:szCs w:val="18"/>
        </w:rPr>
        <w:t>di),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Diritto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Commerciale,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Vol.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II,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Giappichelli,</w:t>
      </w:r>
      <w:r w:rsidR="00041EAD">
        <w:rPr>
          <w:sz w:val="18"/>
          <w:szCs w:val="18"/>
        </w:rPr>
        <w:t xml:space="preserve"> </w:t>
      </w:r>
      <w:proofErr w:type="gramStart"/>
      <w:r w:rsidR="00CC1D53" w:rsidRPr="00A87FDE">
        <w:rPr>
          <w:sz w:val="18"/>
          <w:szCs w:val="18"/>
        </w:rPr>
        <w:t>3ª</w:t>
      </w:r>
      <w:proofErr w:type="gramEnd"/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edizione,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2019</w:t>
      </w:r>
    </w:p>
    <w:p w14:paraId="0A19DF51" w14:textId="77777777" w:rsidR="00A87FDE" w:rsidRDefault="00A87FDE" w:rsidP="00A87FDE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DIDATTICA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DEL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CORSO</w:t>
      </w:r>
    </w:p>
    <w:p w14:paraId="1D98E0A6" w14:textId="77777777" w:rsidR="005B0D35" w:rsidRPr="00A87FDE" w:rsidRDefault="005B0D35" w:rsidP="00205D70">
      <w:pPr>
        <w:jc w:val="both"/>
        <w:rPr>
          <w:sz w:val="18"/>
          <w:szCs w:val="18"/>
        </w:rPr>
      </w:pPr>
      <w:r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frontali,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casi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pratici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discussione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attiva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studenti.</w:t>
      </w:r>
    </w:p>
    <w:p w14:paraId="0CEEF8F4" w14:textId="77777777" w:rsidR="00A87FDE" w:rsidRDefault="00A87FDE" w:rsidP="00A87FDE">
      <w:pPr>
        <w:spacing w:before="240" w:after="120" w:line="22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METODO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CRITERI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DI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VALUTAZIONE</w:t>
      </w:r>
    </w:p>
    <w:p w14:paraId="46D16868" w14:textId="77777777" w:rsidR="005B0D35" w:rsidRPr="00A87FDE" w:rsidRDefault="005B0D35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che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parteciperanno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regolarmente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alle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concluder</w:t>
      </w:r>
      <w:r w:rsidR="00205D70" w:rsidRPr="00A87FDE">
        <w:rPr>
          <w:sz w:val="18"/>
          <w:szCs w:val="18"/>
        </w:rPr>
        <w:t>anno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ciascun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modulo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con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saggio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scritto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individuale</w:t>
      </w:r>
      <w:r w:rsidRPr="00A87FDE">
        <w:rPr>
          <w:sz w:val="18"/>
          <w:szCs w:val="18"/>
        </w:rPr>
        <w:t>.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voto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finale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sarà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il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risultato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della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media</w:t>
      </w:r>
      <w:r w:rsidR="00041EAD">
        <w:rPr>
          <w:sz w:val="18"/>
          <w:szCs w:val="18"/>
        </w:rPr>
        <w:t xml:space="preserve"> </w:t>
      </w:r>
      <w:r w:rsidR="00205D70" w:rsidRPr="00A87FDE">
        <w:rPr>
          <w:sz w:val="18"/>
          <w:szCs w:val="18"/>
        </w:rPr>
        <w:t>dei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punteggi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ricevuti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nei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due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saggi.</w:t>
      </w:r>
    </w:p>
    <w:p w14:paraId="76B5DC7F" w14:textId="77777777" w:rsidR="005B0D35" w:rsidRPr="00A87FDE" w:rsidRDefault="005B0D35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lastRenderedPageBreak/>
        <w:t>Gli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studenti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che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non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partecipano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regolarmente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alle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lezioni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soste</w:t>
      </w:r>
      <w:r w:rsidR="00205D70" w:rsidRPr="00A87FDE">
        <w:rPr>
          <w:sz w:val="18"/>
          <w:szCs w:val="18"/>
        </w:rPr>
        <w:t>rranno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un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esame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orale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basato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sul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seguente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libro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di</w:t>
      </w:r>
      <w:r w:rsidR="00041EAD"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testo:</w:t>
      </w:r>
    </w:p>
    <w:p w14:paraId="39D8D971" w14:textId="77777777" w:rsidR="005B0D35" w:rsidRPr="00A87FDE" w:rsidRDefault="00041EAD" w:rsidP="00A87FDE">
      <w:pPr>
        <w:ind w:firstLine="284"/>
        <w:jc w:val="both"/>
        <w:rPr>
          <w:sz w:val="18"/>
          <w:szCs w:val="18"/>
        </w:rPr>
      </w:pPr>
      <w:r w:rsidRPr="00A87FDE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Mazzoni</w:t>
      </w:r>
      <w:r>
        <w:rPr>
          <w:sz w:val="18"/>
          <w:szCs w:val="18"/>
        </w:rPr>
        <w:t>-</w:t>
      </w:r>
      <w:r w:rsidRPr="00A87FDE">
        <w:rPr>
          <w:sz w:val="18"/>
          <w:szCs w:val="18"/>
        </w:rPr>
        <w:t>M.C.</w:t>
      </w:r>
      <w:r>
        <w:rPr>
          <w:sz w:val="18"/>
          <w:szCs w:val="18"/>
        </w:rPr>
        <w:t xml:space="preserve"> </w:t>
      </w:r>
      <w:r w:rsidRPr="00A87FDE">
        <w:rPr>
          <w:sz w:val="18"/>
          <w:szCs w:val="18"/>
        </w:rPr>
        <w:t>Malaguti</w:t>
      </w:r>
      <w:r w:rsidR="005B0D35" w:rsidRPr="00A87FD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Diritto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del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Commercio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Internazionale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-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Fondamenti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e</w:t>
      </w:r>
      <w:r>
        <w:rPr>
          <w:i/>
          <w:iCs/>
          <w:sz w:val="18"/>
          <w:szCs w:val="18"/>
        </w:rPr>
        <w:t xml:space="preserve"> </w:t>
      </w:r>
      <w:r w:rsidR="005B0D35" w:rsidRPr="00A87FDE">
        <w:rPr>
          <w:i/>
          <w:iCs/>
          <w:sz w:val="18"/>
          <w:szCs w:val="18"/>
        </w:rPr>
        <w:t>Prospettive</w:t>
      </w:r>
      <w:r w:rsidR="005B0D35" w:rsidRPr="00A87FDE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B0D35" w:rsidRPr="00A87FDE">
        <w:rPr>
          <w:sz w:val="18"/>
          <w:szCs w:val="18"/>
        </w:rPr>
        <w:t>Giappichelli</w:t>
      </w:r>
      <w:r>
        <w:rPr>
          <w:sz w:val="18"/>
          <w:szCs w:val="18"/>
        </w:rPr>
        <w:t xml:space="preserve"> </w:t>
      </w:r>
      <w:r w:rsidR="005B0D35" w:rsidRPr="00A87FDE">
        <w:rPr>
          <w:sz w:val="18"/>
          <w:szCs w:val="18"/>
        </w:rPr>
        <w:t>2019</w:t>
      </w:r>
    </w:p>
    <w:p w14:paraId="4F1A8DB4" w14:textId="77777777" w:rsidR="00A87FDE" w:rsidRDefault="00A87FDE" w:rsidP="00A87FDE">
      <w:pPr>
        <w:spacing w:before="240" w:after="120" w:line="240" w:lineRule="atLeast"/>
        <w:jc w:val="both"/>
        <w:rPr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AVVERTENZE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E</w:t>
      </w:r>
      <w:r w:rsidR="00041EAD">
        <w:rPr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b/>
          <w:bCs/>
          <w:i/>
          <w:iCs/>
          <w:color w:val="000000"/>
          <w:sz w:val="18"/>
          <w:szCs w:val="18"/>
        </w:rPr>
        <w:t>PREREQUISITI</w:t>
      </w:r>
    </w:p>
    <w:p w14:paraId="48BB216F" w14:textId="77777777" w:rsidR="00A87FDE" w:rsidRDefault="00A87FDE" w:rsidP="002F7A7B">
      <w:pPr>
        <w:spacing w:before="120"/>
        <w:ind w:firstLine="284"/>
        <w:jc w:val="both"/>
        <w:rPr>
          <w:i/>
          <w:iCs/>
          <w:sz w:val="18"/>
          <w:szCs w:val="18"/>
        </w:rPr>
      </w:pPr>
      <w:r>
        <w:rPr>
          <w:sz w:val="18"/>
          <w:szCs w:val="18"/>
          <w:shd w:val="clear" w:color="auto" w:fill="FFFFFF"/>
        </w:rPr>
        <w:t>Nel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caso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in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cui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la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situazione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sanitaria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relativa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alla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pandemia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Covid-19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non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dovesse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consentire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la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didattica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in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presenza,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sarà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garantita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l’erogazione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distanza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dell’insegnamento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degli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esami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di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profitto,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modalità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che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verranno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comunicate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in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tempo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utile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agli</w:t>
      </w:r>
      <w:r w:rsidR="00041EAD">
        <w:rPr>
          <w:sz w:val="18"/>
          <w:szCs w:val="18"/>
          <w:shd w:val="clear" w:color="auto" w:fill="FFFFFF"/>
        </w:rPr>
        <w:t xml:space="preserve"> </w:t>
      </w:r>
      <w:r>
        <w:rPr>
          <w:sz w:val="18"/>
          <w:szCs w:val="18"/>
          <w:shd w:val="clear" w:color="auto" w:fill="FFFFFF"/>
        </w:rPr>
        <w:t>studenti.</w:t>
      </w:r>
    </w:p>
    <w:sectPr w:rsidR="00A87FDE" w:rsidSect="00A87FDE">
      <w:pgSz w:w="11906" w:h="16838"/>
      <w:pgMar w:top="3515" w:right="2608" w:bottom="3515" w:left="26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5E51F1"/>
    <w:multiLevelType w:val="hybridMultilevel"/>
    <w:tmpl w:val="64EAE334"/>
    <w:lvl w:ilvl="0" w:tplc="DBEECA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50C0A"/>
    <w:multiLevelType w:val="multilevel"/>
    <w:tmpl w:val="0A8A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8F070E"/>
    <w:multiLevelType w:val="hybridMultilevel"/>
    <w:tmpl w:val="1CB0F6EC"/>
    <w:lvl w:ilvl="0" w:tplc="6D28370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974542">
    <w:abstractNumId w:val="1"/>
  </w:num>
  <w:num w:numId="2" w16cid:durableId="978219724">
    <w:abstractNumId w:val="0"/>
  </w:num>
  <w:num w:numId="3" w16cid:durableId="1334485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EC"/>
    <w:rsid w:val="00041EAD"/>
    <w:rsid w:val="000423F6"/>
    <w:rsid w:val="00061F8B"/>
    <w:rsid w:val="0006307D"/>
    <w:rsid w:val="00096B9F"/>
    <w:rsid w:val="0010385F"/>
    <w:rsid w:val="001D7759"/>
    <w:rsid w:val="001E167D"/>
    <w:rsid w:val="00205D70"/>
    <w:rsid w:val="002161EC"/>
    <w:rsid w:val="0027721F"/>
    <w:rsid w:val="002A6249"/>
    <w:rsid w:val="002F7A7B"/>
    <w:rsid w:val="00333317"/>
    <w:rsid w:val="00356EC6"/>
    <w:rsid w:val="00473FEC"/>
    <w:rsid w:val="005B0D35"/>
    <w:rsid w:val="006409E4"/>
    <w:rsid w:val="007157A1"/>
    <w:rsid w:val="00725C89"/>
    <w:rsid w:val="007354C3"/>
    <w:rsid w:val="007774DA"/>
    <w:rsid w:val="007C40AB"/>
    <w:rsid w:val="007C43C0"/>
    <w:rsid w:val="008249B2"/>
    <w:rsid w:val="008933AD"/>
    <w:rsid w:val="0099108E"/>
    <w:rsid w:val="00993006"/>
    <w:rsid w:val="009A04AF"/>
    <w:rsid w:val="009C0670"/>
    <w:rsid w:val="00A32D7B"/>
    <w:rsid w:val="00A87FDE"/>
    <w:rsid w:val="00B61636"/>
    <w:rsid w:val="00B80824"/>
    <w:rsid w:val="00BE2E7B"/>
    <w:rsid w:val="00CC1D53"/>
    <w:rsid w:val="00CF647E"/>
    <w:rsid w:val="00E36F4D"/>
    <w:rsid w:val="00FE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03A22"/>
  <w15:chartTrackingRefBased/>
  <w15:docId w15:val="{B631CF05-3D7E-4CC9-9D2A-EA6C03AC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qFormat/>
    <w:rsid w:val="00473F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473FEC"/>
    <w:pPr>
      <w:spacing w:before="100" w:beforeAutospacing="1" w:after="100" w:afterAutospacing="1"/>
    </w:pPr>
  </w:style>
  <w:style w:type="character" w:styleId="Enfasicorsivo">
    <w:name w:val="Emphasis"/>
    <w:qFormat/>
    <w:rsid w:val="0027721F"/>
    <w:rPr>
      <w:b w:val="0"/>
      <w:bCs w:val="0"/>
      <w:i/>
      <w:iCs/>
    </w:rPr>
  </w:style>
  <w:style w:type="paragraph" w:styleId="Testofumetto">
    <w:name w:val="Balloon Text"/>
    <w:basedOn w:val="Normale"/>
    <w:link w:val="TestofumettoCarattere"/>
    <w:rsid w:val="009A04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A0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8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4167">
                  <w:marLeft w:val="2550"/>
                  <w:marRight w:val="60"/>
                  <w:marTop w:val="60"/>
                  <w:marBottom w:val="0"/>
                  <w:divBdr>
                    <w:top w:val="single" w:sz="6" w:space="6" w:color="999999"/>
                    <w:left w:val="single" w:sz="6" w:space="12" w:color="999999"/>
                    <w:bottom w:val="single" w:sz="6" w:space="12" w:color="999999"/>
                    <w:right w:val="single" w:sz="6" w:space="12" w:color="999999"/>
                  </w:divBdr>
                </w:div>
              </w:divsChild>
            </w:div>
          </w:divsChild>
        </w:div>
      </w:divsChild>
    </w:div>
    <w:div w:id="1632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0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90986">
                                      <w:marLeft w:val="0"/>
                                      <w:marRight w:val="-102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73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GLOBAL HEALTH LAW AND POLICY</vt:lpstr>
      <vt:lpstr>GLOBAL HEALTH LAW AND POLICY</vt:lpstr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HEALTH LAW AND POLICY</dc:title>
  <dc:subject/>
  <dc:creator>Maria Chiara</dc:creator>
  <cp:keywords/>
  <dc:description/>
  <cp:lastModifiedBy>Grassi Monica Barbara</cp:lastModifiedBy>
  <cp:revision>4</cp:revision>
  <dcterms:created xsi:type="dcterms:W3CDTF">2022-06-27T14:53:00Z</dcterms:created>
  <dcterms:modified xsi:type="dcterms:W3CDTF">2022-06-27T14:55:00Z</dcterms:modified>
</cp:coreProperties>
</file>