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386A" w14:textId="77777777" w:rsidR="002D5E17" w:rsidRDefault="004D3207" w:rsidP="002D5E17">
      <w:pPr>
        <w:pStyle w:val="Titolo1"/>
      </w:pPr>
      <w:r>
        <w:t>Politica economica</w:t>
      </w:r>
    </w:p>
    <w:p w14:paraId="19B93997" w14:textId="1904BFE7" w:rsidR="004D3207" w:rsidRDefault="004D3207" w:rsidP="004D3207">
      <w:pPr>
        <w:pStyle w:val="Titolo2"/>
      </w:pPr>
      <w:r>
        <w:t>Prof</w:t>
      </w:r>
      <w:r w:rsidR="00C73050">
        <w:t xml:space="preserve">. </w:t>
      </w:r>
      <w:r>
        <w:t xml:space="preserve">Giampaolo </w:t>
      </w:r>
      <w:r w:rsidR="00C73050">
        <w:t xml:space="preserve">Galli; </w:t>
      </w:r>
      <w:r w:rsidR="00005882">
        <w:t>P</w:t>
      </w:r>
      <w:r>
        <w:t>rof</w:t>
      </w:r>
      <w:r w:rsidR="00C73050">
        <w:t xml:space="preserve">. </w:t>
      </w:r>
      <w:r>
        <w:t>Luca Salmasi</w:t>
      </w:r>
    </w:p>
    <w:p w14:paraId="71E30BBA" w14:textId="77777777" w:rsidR="00754A51" w:rsidRDefault="00754A51" w:rsidP="00754A51">
      <w:pPr>
        <w:spacing w:before="240" w:after="120" w:line="240" w:lineRule="exact"/>
        <w:rPr>
          <w:b/>
          <w:i/>
          <w:sz w:val="18"/>
        </w:rPr>
      </w:pPr>
      <w:r>
        <w:rPr>
          <w:b/>
          <w:i/>
          <w:sz w:val="18"/>
        </w:rPr>
        <w:t>OBIETTIVO DEL CORSO E RISULTATI DI APPRENDIMENTO ATTESI</w:t>
      </w:r>
    </w:p>
    <w:p w14:paraId="2E45CF6A" w14:textId="77777777" w:rsidR="00B6611F" w:rsidRPr="004D3207" w:rsidRDefault="00B6611F" w:rsidP="00B6611F">
      <w:pPr>
        <w:spacing w:line="240" w:lineRule="exact"/>
        <w:rPr>
          <w:rFonts w:ascii="Times" w:hAnsi="Times" w:cs="Times"/>
        </w:rPr>
      </w:pPr>
      <w:r w:rsidRPr="004D3207">
        <w:rPr>
          <w:rFonts w:ascii="Times" w:hAnsi="Times" w:cs="Times"/>
        </w:rPr>
        <w:t>Obiettivo del corso è l’analisi delle principali variabili macroeconomiche (consumi, risparmi, investimenti, spesa pubblica, importazioni ed esportazioni, prezzi, inflazione, aspetta</w:t>
      </w:r>
      <w:r>
        <w:rPr>
          <w:rFonts w:ascii="Times" w:hAnsi="Times" w:cs="Times"/>
        </w:rPr>
        <w:t xml:space="preserve">tive, prodotto interno lordo). </w:t>
      </w:r>
      <w:r w:rsidRPr="004D3207">
        <w:rPr>
          <w:rFonts w:ascii="Times" w:hAnsi="Times" w:cs="Times"/>
        </w:rPr>
        <w:t>Il corso affronta i temi suddetti ponendoli in relazione all'operato delle istituzioni pubbliche e ne analizza gli andamenti nel breve, medio e lungo termine. Ampio spazio è dato alle conseguenze della politica economica e alle azioni che possono adottare attori pubblici, quali il Governo e la Banca Centrale, per influenzare il livello di produzione dell'economia. L'analisi dei modelli teorici è accompagnata dalla presentazione di casi studio.</w:t>
      </w:r>
    </w:p>
    <w:p w14:paraId="4732DE43" w14:textId="77777777" w:rsidR="00B6611F" w:rsidRPr="004D3207" w:rsidRDefault="00B6611F" w:rsidP="00B6611F">
      <w:pPr>
        <w:spacing w:before="120" w:line="240" w:lineRule="exact"/>
        <w:rPr>
          <w:rFonts w:ascii="Times" w:hAnsi="Times" w:cs="Times"/>
        </w:rPr>
      </w:pPr>
      <w:r w:rsidRPr="004D3207">
        <w:rPr>
          <w:rFonts w:ascii="Times" w:hAnsi="Times" w:cs="Times"/>
        </w:rPr>
        <w:t>Al termine del corso gli studenti:</w:t>
      </w:r>
    </w:p>
    <w:p w14:paraId="0585987E"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avranno conseguito la conoscenza dei concetti basilari e degli strumenti fondamentali della macroecon</w:t>
      </w:r>
      <w:r>
        <w:rPr>
          <w:rFonts w:ascii="Times" w:hAnsi="Times" w:cs="Times"/>
        </w:rPr>
        <w:t>omia e della politica economica;</w:t>
      </w:r>
    </w:p>
    <w:p w14:paraId="7137DFAE"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sapranno valutare tramite analisi grafica gli effetti di una variazione della spesa pubblica, del livello di tassazione e degli investi</w:t>
      </w:r>
      <w:r>
        <w:rPr>
          <w:rFonts w:ascii="Times" w:hAnsi="Times" w:cs="Times"/>
        </w:rPr>
        <w:t>menti sul livello di produzione;</w:t>
      </w:r>
    </w:p>
    <w:p w14:paraId="078D021D"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capire la relazione tra offerta di moneta e livello dei tassi di interesse nonché valutare gli effetti della poli</w:t>
      </w:r>
      <w:r>
        <w:rPr>
          <w:rFonts w:ascii="Times" w:hAnsi="Times" w:cs="Times"/>
        </w:rPr>
        <w:t>tica monetaria sulla produzione;</w:t>
      </w:r>
    </w:p>
    <w:p w14:paraId="4796B53A"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r w:rsidRPr="004D3207">
        <w:rPr>
          <w:rFonts w:ascii="Times" w:hAnsi="Times" w:cs="Times"/>
        </w:rPr>
        <w:t>saranno in grado di distinguere tra effetti di breve, medio e lungo periodo e valutare in questo contesto il ruolo</w:t>
      </w:r>
      <w:r>
        <w:rPr>
          <w:rFonts w:ascii="Times" w:hAnsi="Times" w:cs="Times"/>
        </w:rPr>
        <w:t xml:space="preserve"> dei prezzi e delle aspettative;</w:t>
      </w:r>
    </w:p>
    <w:p w14:paraId="7BB34FBA" w14:textId="77777777" w:rsidR="00B6611F" w:rsidRPr="004D3207"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r>
      <w:proofErr w:type="gramStart"/>
      <w:r w:rsidRPr="004D3207">
        <w:rPr>
          <w:rFonts w:ascii="Times" w:hAnsi="Times" w:cs="Times"/>
        </w:rPr>
        <w:t>infine</w:t>
      </w:r>
      <w:proofErr w:type="gramEnd"/>
      <w:r w:rsidRPr="004D3207">
        <w:rPr>
          <w:rFonts w:ascii="Times" w:hAnsi="Times" w:cs="Times"/>
        </w:rPr>
        <w:t xml:space="preserve"> apprenderanno le nozioni di base della crescita economica ed i principali fattori che la influenzano.</w:t>
      </w:r>
    </w:p>
    <w:p w14:paraId="290694B9" w14:textId="77777777" w:rsidR="00754A51" w:rsidRDefault="00754A51" w:rsidP="00754A51">
      <w:pPr>
        <w:spacing w:before="240" w:after="120" w:line="240" w:lineRule="exact"/>
        <w:rPr>
          <w:b/>
          <w:i/>
          <w:sz w:val="18"/>
        </w:rPr>
      </w:pPr>
      <w:r>
        <w:rPr>
          <w:b/>
          <w:i/>
          <w:sz w:val="18"/>
        </w:rPr>
        <w:t>PROGRAMMA DEL CORSO</w:t>
      </w:r>
    </w:p>
    <w:p w14:paraId="7C844450" w14:textId="77777777" w:rsidR="00B6611F" w:rsidRPr="004D3207" w:rsidRDefault="00B6611F" w:rsidP="00B6611F">
      <w:pPr>
        <w:spacing w:line="240" w:lineRule="exact"/>
        <w:rPr>
          <w:rFonts w:ascii="Times" w:hAnsi="Times" w:cs="Times"/>
        </w:rPr>
      </w:pPr>
      <w:r>
        <w:rPr>
          <w:rFonts w:ascii="Times" w:hAnsi="Times"/>
          <w:smallCaps/>
          <w:noProof/>
          <w:spacing w:val="-5"/>
          <w:sz w:val="18"/>
          <w:szCs w:val="18"/>
        </w:rPr>
        <w:tab/>
      </w:r>
      <w:r w:rsidRPr="00F42EBC">
        <w:rPr>
          <w:rFonts w:ascii="Times" w:hAnsi="Times"/>
          <w:smallCaps/>
          <w:noProof/>
          <w:spacing w:val="-5"/>
          <w:sz w:val="18"/>
          <w:szCs w:val="18"/>
        </w:rPr>
        <w:t>Parte I</w:t>
      </w:r>
    </w:p>
    <w:p w14:paraId="793D995C"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Variabili macroeconomiche e contabilità nazionale.</w:t>
      </w:r>
    </w:p>
    <w:p w14:paraId="4B3158A1"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principio della domanda effettiva in una economia con prezzi fissi.</w:t>
      </w:r>
    </w:p>
    <w:p w14:paraId="3F21FC38"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Consumo, risparmio e investimento nel modello keynesiano elementare.</w:t>
      </w:r>
    </w:p>
    <w:p w14:paraId="15D5C11F"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Il settore pubblico e la determinazione del livello produttivo: l’impatto di tasse, trasferimenti e spesa pubblica.</w:t>
      </w:r>
    </w:p>
    <w:p w14:paraId="445E6E65"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Equilibrio nel mercato dei beni: la curva IS.</w:t>
      </w:r>
    </w:p>
    <w:p w14:paraId="75BDF201"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Offerta di moneta e politica monetaria. Equilibrio nel mercato della moneta e curva LM.</w:t>
      </w:r>
    </w:p>
    <w:p w14:paraId="12F9FDFD"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Curva di Phillips, flessibilità dei salari nominali e aspettative</w:t>
      </w:r>
    </w:p>
    <w:p w14:paraId="1B917C7F" w14:textId="77777777" w:rsidR="00B6611F" w:rsidRDefault="00B6611F" w:rsidP="00B6611F">
      <w:pPr>
        <w:spacing w:line="240" w:lineRule="exact"/>
        <w:ind w:left="284" w:hanging="284"/>
        <w:rPr>
          <w:rFonts w:ascii="Times" w:hAnsi="Times" w:cs="Times"/>
        </w:rPr>
      </w:pPr>
      <w:r w:rsidRPr="004D3207">
        <w:rPr>
          <w:rFonts w:ascii="Times" w:hAnsi="Times" w:cs="Times"/>
        </w:rPr>
        <w:t>–</w:t>
      </w:r>
      <w:r>
        <w:rPr>
          <w:rFonts w:ascii="Times" w:hAnsi="Times" w:cs="Times"/>
        </w:rPr>
        <w:tab/>
      </w:r>
      <w:r w:rsidRPr="00FF2A9A">
        <w:rPr>
          <w:rFonts w:ascii="Times" w:hAnsi="Times" w:cs="Times"/>
        </w:rPr>
        <w:t xml:space="preserve">L’equilibrio macroeconomico con prezzi flessibili; il modello Domanda Aggregata </w:t>
      </w:r>
      <w:r>
        <w:rPr>
          <w:rFonts w:ascii="Times" w:hAnsi="Times" w:cs="Times"/>
        </w:rPr>
        <w:t xml:space="preserve">- </w:t>
      </w:r>
      <w:r w:rsidRPr="00FF2A9A">
        <w:rPr>
          <w:rFonts w:ascii="Times" w:hAnsi="Times" w:cs="Times"/>
        </w:rPr>
        <w:t>Offerta Aggregata.</w:t>
      </w:r>
    </w:p>
    <w:p w14:paraId="3761E6B5" w14:textId="77777777" w:rsidR="00B6611F" w:rsidRDefault="00B6611F" w:rsidP="00B6611F">
      <w:pPr>
        <w:spacing w:line="240" w:lineRule="exact"/>
        <w:rPr>
          <w:rFonts w:ascii="Times" w:hAnsi="Times"/>
          <w:smallCaps/>
          <w:noProof/>
          <w:spacing w:val="-5"/>
          <w:sz w:val="18"/>
          <w:szCs w:val="18"/>
        </w:rPr>
      </w:pPr>
      <w:r>
        <w:rPr>
          <w:rFonts w:ascii="Times" w:hAnsi="Times"/>
          <w:smallCaps/>
          <w:noProof/>
          <w:spacing w:val="-5"/>
          <w:sz w:val="18"/>
          <w:szCs w:val="18"/>
        </w:rPr>
        <w:lastRenderedPageBreak/>
        <w:tab/>
      </w:r>
      <w:r w:rsidRPr="00F42EBC">
        <w:rPr>
          <w:rFonts w:ascii="Times" w:hAnsi="Times"/>
          <w:smallCaps/>
          <w:noProof/>
          <w:spacing w:val="-5"/>
          <w:sz w:val="18"/>
          <w:szCs w:val="18"/>
        </w:rPr>
        <w:t>Parte II</w:t>
      </w:r>
    </w:p>
    <w:p w14:paraId="41DC8E09" w14:textId="77777777" w:rsidR="00B6611F" w:rsidRPr="00FF2A9A"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Tassi di interesse e valore dei titoli, arbitraggio, curva per scadenze dei tassi di interesse.</w:t>
      </w:r>
    </w:p>
    <w:p w14:paraId="4541D8C5" w14:textId="77777777" w:rsidR="00B6611F" w:rsidRPr="004D3207"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Aspettative e politica economica</w:t>
      </w:r>
    </w:p>
    <w:p w14:paraId="0A25CDD1"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r>
      <w:r>
        <w:rPr>
          <w:rFonts w:ascii="Times" w:hAnsi="Times" w:cs="Times"/>
        </w:rPr>
        <w:t>Il lungo periodo</w:t>
      </w:r>
    </w:p>
    <w:p w14:paraId="67559301" w14:textId="77777777"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Progresso tecnologico e diseguaglianze</w:t>
      </w:r>
    </w:p>
    <w:p w14:paraId="58F58386" w14:textId="77777777" w:rsidR="00B6611F" w:rsidRDefault="00B6611F" w:rsidP="00B6611F">
      <w:pPr>
        <w:spacing w:line="240" w:lineRule="exact"/>
        <w:ind w:left="284" w:hanging="284"/>
        <w:rPr>
          <w:rFonts w:ascii="Times" w:hAnsi="Times" w:cs="Times"/>
        </w:rPr>
      </w:pPr>
      <w:r>
        <w:rPr>
          <w:rFonts w:ascii="Times" w:hAnsi="Times" w:cs="Times"/>
        </w:rPr>
        <w:t>–</w:t>
      </w:r>
      <w:r>
        <w:rPr>
          <w:rFonts w:ascii="Times" w:hAnsi="Times" w:cs="Times"/>
        </w:rPr>
        <w:tab/>
        <w:t>Le sfide della crescita e il riscaldamento globale</w:t>
      </w:r>
    </w:p>
    <w:p w14:paraId="5DC396AD" w14:textId="77777777" w:rsidR="00B6611F" w:rsidRPr="004D3207" w:rsidRDefault="00B6611F" w:rsidP="00B6611F">
      <w:pPr>
        <w:spacing w:line="240" w:lineRule="exact"/>
        <w:rPr>
          <w:rFonts w:ascii="Times" w:hAnsi="Times" w:cs="Times"/>
        </w:rPr>
      </w:pPr>
      <w:r w:rsidRPr="004D3207">
        <w:rPr>
          <w:rFonts w:ascii="Times" w:hAnsi="Times" w:cs="Times"/>
        </w:rPr>
        <w:t>–</w:t>
      </w:r>
      <w:r w:rsidRPr="004D3207">
        <w:rPr>
          <w:rFonts w:ascii="Times" w:hAnsi="Times" w:cs="Times"/>
        </w:rPr>
        <w:tab/>
        <w:t>Politiche di bilancio e sostenibilità del debito pubblico</w:t>
      </w:r>
      <w:r>
        <w:rPr>
          <w:rFonts w:ascii="Times" w:hAnsi="Times" w:cs="Times"/>
        </w:rPr>
        <w:t>.</w:t>
      </w:r>
    </w:p>
    <w:p w14:paraId="33785360" w14:textId="77777777" w:rsidR="00B6611F" w:rsidRDefault="00B6611F" w:rsidP="00B6611F">
      <w:pPr>
        <w:spacing w:line="240" w:lineRule="exact"/>
        <w:ind w:left="284" w:hanging="284"/>
        <w:rPr>
          <w:rFonts w:ascii="Times" w:hAnsi="Times" w:cs="Times"/>
        </w:rPr>
      </w:pPr>
      <w:r w:rsidRPr="004D3207">
        <w:rPr>
          <w:rFonts w:ascii="Times" w:hAnsi="Times" w:cs="Times"/>
        </w:rPr>
        <w:t>–</w:t>
      </w:r>
      <w:r w:rsidRPr="004D3207">
        <w:rPr>
          <w:rFonts w:ascii="Times" w:hAnsi="Times" w:cs="Times"/>
        </w:rPr>
        <w:tab/>
        <w:t xml:space="preserve">I fatti recenti: </w:t>
      </w:r>
      <w:r>
        <w:rPr>
          <w:rFonts w:ascii="Times" w:hAnsi="Times" w:cs="Times"/>
        </w:rPr>
        <w:t xml:space="preserve">la pandemia e </w:t>
      </w:r>
      <w:r w:rsidRPr="004D3207">
        <w:rPr>
          <w:rFonts w:ascii="Times" w:hAnsi="Times" w:cs="Times"/>
        </w:rPr>
        <w:t>la crisi dei subprime</w:t>
      </w:r>
      <w:r>
        <w:rPr>
          <w:rFonts w:ascii="Times" w:hAnsi="Times" w:cs="Times"/>
        </w:rPr>
        <w:t>.</w:t>
      </w:r>
      <w:r w:rsidRPr="004D3207">
        <w:rPr>
          <w:rFonts w:ascii="Times" w:hAnsi="Times" w:cs="Times"/>
        </w:rPr>
        <w:t xml:space="preserve"> </w:t>
      </w:r>
    </w:p>
    <w:p w14:paraId="2A234C43" w14:textId="77777777" w:rsidR="00754A51" w:rsidRDefault="00754A51" w:rsidP="00754A51">
      <w:pPr>
        <w:spacing w:before="240" w:after="120"/>
        <w:rPr>
          <w:b/>
          <w:i/>
          <w:sz w:val="18"/>
        </w:rPr>
      </w:pPr>
      <w:r>
        <w:rPr>
          <w:b/>
          <w:i/>
          <w:sz w:val="18"/>
        </w:rPr>
        <w:t>BIBLIOGRAFIA</w:t>
      </w:r>
    </w:p>
    <w:p w14:paraId="27317DA2" w14:textId="77777777" w:rsidR="00B6611F" w:rsidRDefault="00B6611F" w:rsidP="00B6611F">
      <w:pPr>
        <w:spacing w:line="240" w:lineRule="exact"/>
        <w:ind w:left="284" w:hanging="284"/>
        <w:rPr>
          <w:spacing w:val="-5"/>
          <w:szCs w:val="18"/>
        </w:rPr>
      </w:pPr>
      <w:r w:rsidRPr="00005882">
        <w:rPr>
          <w:smallCaps/>
          <w:spacing w:val="-5"/>
          <w:sz w:val="16"/>
          <w:szCs w:val="18"/>
        </w:rPr>
        <w:t xml:space="preserve">O. Blanchard-A. </w:t>
      </w:r>
      <w:proofErr w:type="spellStart"/>
      <w:r w:rsidRPr="00005882">
        <w:rPr>
          <w:smallCaps/>
          <w:spacing w:val="-5"/>
          <w:sz w:val="16"/>
          <w:szCs w:val="18"/>
        </w:rPr>
        <w:t>Amighini</w:t>
      </w:r>
      <w:proofErr w:type="spellEnd"/>
      <w:r w:rsidRPr="00005882">
        <w:rPr>
          <w:smallCaps/>
          <w:spacing w:val="-5"/>
          <w:sz w:val="16"/>
          <w:szCs w:val="18"/>
        </w:rPr>
        <w:t>-F. Giavazzi</w:t>
      </w:r>
      <w:r w:rsidRPr="001E081D">
        <w:rPr>
          <w:smallCaps/>
          <w:spacing w:val="-5"/>
          <w:szCs w:val="18"/>
        </w:rPr>
        <w:t>,</w:t>
      </w:r>
      <w:r w:rsidRPr="001E081D">
        <w:rPr>
          <w:i/>
          <w:spacing w:val="-5"/>
          <w:szCs w:val="18"/>
        </w:rPr>
        <w:t xml:space="preserve"> Macroeconomia: una prospettiva europea,</w:t>
      </w:r>
      <w:r w:rsidRPr="001E081D">
        <w:rPr>
          <w:spacing w:val="-5"/>
          <w:szCs w:val="18"/>
        </w:rPr>
        <w:t xml:space="preserve"> Il Mulino, </w:t>
      </w:r>
      <w:r w:rsidRPr="004D3207">
        <w:rPr>
          <w:rFonts w:cs="Times"/>
          <w:szCs w:val="18"/>
        </w:rPr>
        <w:t xml:space="preserve">Bologna, </w:t>
      </w:r>
      <w:r>
        <w:rPr>
          <w:spacing w:val="-5"/>
          <w:szCs w:val="18"/>
        </w:rPr>
        <w:t>ultima edizione disponibile</w:t>
      </w:r>
      <w:r w:rsidRPr="001E081D">
        <w:rPr>
          <w:spacing w:val="-5"/>
          <w:szCs w:val="18"/>
        </w:rPr>
        <w:t>.</w:t>
      </w:r>
      <w:r>
        <w:rPr>
          <w:spacing w:val="-5"/>
          <w:szCs w:val="18"/>
        </w:rPr>
        <w:t xml:space="preserve"> </w:t>
      </w:r>
    </w:p>
    <w:p w14:paraId="30AD7AC8" w14:textId="77777777" w:rsidR="00B6611F" w:rsidRDefault="00B6611F" w:rsidP="00B6611F">
      <w:pPr>
        <w:spacing w:line="240" w:lineRule="exact"/>
        <w:ind w:left="284" w:hanging="284"/>
        <w:rPr>
          <w:rFonts w:ascii="Times" w:hAnsi="Times" w:cs="Times"/>
        </w:rPr>
      </w:pPr>
      <w:r w:rsidRPr="00772AC9">
        <w:rPr>
          <w:b/>
          <w:bCs/>
          <w:spacing w:val="-5"/>
          <w:szCs w:val="18"/>
        </w:rPr>
        <w:t>Capitoli prima parte:</w:t>
      </w:r>
      <w:r>
        <w:rPr>
          <w:spacing w:val="-5"/>
          <w:szCs w:val="18"/>
        </w:rPr>
        <w:t xml:space="preserve"> II, </w:t>
      </w:r>
      <w:r>
        <w:rPr>
          <w:rFonts w:ascii="Times" w:hAnsi="Times" w:cs="Times"/>
        </w:rPr>
        <w:t xml:space="preserve">III, IV, V, VI, VII, VIII, IX. </w:t>
      </w:r>
    </w:p>
    <w:p w14:paraId="0A4C16B6" w14:textId="77777777" w:rsidR="00B6611F" w:rsidRPr="00FF2A9A" w:rsidRDefault="00B6611F" w:rsidP="00B6611F">
      <w:pPr>
        <w:spacing w:line="240" w:lineRule="exact"/>
        <w:ind w:left="284" w:hanging="284"/>
        <w:rPr>
          <w:rFonts w:ascii="Times" w:hAnsi="Times" w:cs="Times"/>
        </w:rPr>
      </w:pPr>
      <w:r w:rsidRPr="00772AC9">
        <w:rPr>
          <w:rFonts w:ascii="Times" w:hAnsi="Times" w:cs="Times"/>
          <w:b/>
          <w:bCs/>
        </w:rPr>
        <w:t>Capitoli seconda parte:</w:t>
      </w:r>
      <w:r>
        <w:rPr>
          <w:rFonts w:ascii="Times" w:hAnsi="Times" w:cs="Times"/>
        </w:rPr>
        <w:t xml:space="preserve"> I, XIV, XVI, X, XI, XII, XIII, XXII. </w:t>
      </w:r>
    </w:p>
    <w:p w14:paraId="2410059B" w14:textId="77777777" w:rsidR="00B6611F" w:rsidRPr="00772AC9" w:rsidRDefault="00B6611F" w:rsidP="00B6611F">
      <w:pPr>
        <w:pStyle w:val="Testo1"/>
        <w:spacing w:before="0" w:line="240" w:lineRule="atLeast"/>
        <w:ind w:firstLine="0"/>
        <w:rPr>
          <w:rFonts w:cs="Times"/>
          <w:szCs w:val="18"/>
        </w:rPr>
      </w:pPr>
      <w:r>
        <w:rPr>
          <w:rFonts w:cs="Times"/>
          <w:szCs w:val="18"/>
        </w:rPr>
        <w:t>Per approfondimenti:</w:t>
      </w:r>
    </w:p>
    <w:p w14:paraId="15B3DBB6" w14:textId="77777777" w:rsidR="00B6611F" w:rsidRPr="004D3207" w:rsidRDefault="00B6611F" w:rsidP="00B6611F">
      <w:pPr>
        <w:pStyle w:val="Testo1"/>
        <w:spacing w:before="0"/>
        <w:rPr>
          <w:szCs w:val="18"/>
        </w:rPr>
      </w:pPr>
      <w:r w:rsidRPr="00005882">
        <w:rPr>
          <w:smallCaps/>
          <w:spacing w:val="-5"/>
          <w:sz w:val="16"/>
          <w:szCs w:val="18"/>
        </w:rPr>
        <w:t>L. Campiglio</w:t>
      </w:r>
      <w:r w:rsidRPr="004D3207">
        <w:rPr>
          <w:rFonts w:cs="Times"/>
          <w:szCs w:val="18"/>
        </w:rPr>
        <w:t xml:space="preserve">, </w:t>
      </w:r>
      <w:r w:rsidRPr="004D3207">
        <w:rPr>
          <w:rFonts w:cs="Times"/>
          <w:i/>
          <w:szCs w:val="18"/>
        </w:rPr>
        <w:t>Mercato prezzi e politica economica</w:t>
      </w:r>
      <w:r w:rsidRPr="004D3207">
        <w:rPr>
          <w:rFonts w:cs="Times"/>
          <w:szCs w:val="18"/>
        </w:rPr>
        <w:t>, Il Mulino, Bologna, 1999.</w:t>
      </w:r>
    </w:p>
    <w:p w14:paraId="300084C6" w14:textId="77777777" w:rsidR="00754A51" w:rsidRDefault="00754A51" w:rsidP="00754A51">
      <w:pPr>
        <w:spacing w:before="240" w:after="120"/>
        <w:rPr>
          <w:b/>
          <w:i/>
          <w:sz w:val="18"/>
        </w:rPr>
      </w:pPr>
      <w:r>
        <w:rPr>
          <w:b/>
          <w:i/>
          <w:sz w:val="18"/>
        </w:rPr>
        <w:t>DIDATTICA DEL CORSO</w:t>
      </w:r>
    </w:p>
    <w:p w14:paraId="1EF2677D" w14:textId="77777777" w:rsidR="00B6611F" w:rsidRPr="00A24742" w:rsidRDefault="00B6611F" w:rsidP="00B6611F">
      <w:pPr>
        <w:pStyle w:val="Testo2"/>
      </w:pPr>
      <w:r>
        <w:t xml:space="preserve">Lezioni frontali. </w:t>
      </w:r>
      <w:r w:rsidRPr="000B6E20">
        <w:t>Il programma d’esame per gli studenti comprende congiuntamente (i) il libro di testo indicato nella bibliografia, (ii) i contenuti del lavoro svolto in aula (approfondimento dei casi di studio ed esempi e discussioni proposte dal docente), (iii) le slide</w:t>
      </w:r>
      <w:r>
        <w:t>s</w:t>
      </w:r>
      <w:r w:rsidRPr="000B6E20">
        <w:t xml:space="preserve"> dei docenti rese disponibili sulla piattaforma blackboard.</w:t>
      </w:r>
    </w:p>
    <w:p w14:paraId="5478EBCB" w14:textId="77777777" w:rsidR="00754A51" w:rsidRDefault="00754A51" w:rsidP="00754A51">
      <w:pPr>
        <w:spacing w:before="240" w:after="120"/>
        <w:rPr>
          <w:b/>
          <w:i/>
          <w:sz w:val="18"/>
        </w:rPr>
      </w:pPr>
      <w:r>
        <w:rPr>
          <w:b/>
          <w:i/>
          <w:sz w:val="18"/>
        </w:rPr>
        <w:t>METODO E CRITERI DI VALUTAZIONE</w:t>
      </w:r>
    </w:p>
    <w:p w14:paraId="3DFAAC3A" w14:textId="77777777" w:rsidR="00B6611F" w:rsidRPr="00A24742" w:rsidRDefault="00B6611F" w:rsidP="00B6611F">
      <w:pPr>
        <w:pStyle w:val="Testo2"/>
      </w:pPr>
      <w:r w:rsidRPr="001F4AD6">
        <w:t xml:space="preserve">Sono previste due modalità di esame differenti per studenti frequentanti e studenti non frequentanti. </w:t>
      </w:r>
    </w:p>
    <w:p w14:paraId="13D99948" w14:textId="77777777" w:rsidR="005A5159" w:rsidRPr="00A24742" w:rsidRDefault="005A5159" w:rsidP="005A5159">
      <w:pPr>
        <w:pStyle w:val="Testo2"/>
        <w:spacing w:before="120"/>
      </w:pPr>
      <w:r w:rsidRPr="000B6E20">
        <w:rPr>
          <w:i/>
        </w:rPr>
        <w:t>Studenti frequentanti</w:t>
      </w:r>
      <w:r>
        <w:rPr>
          <w:i/>
        </w:rPr>
        <w:t xml:space="preserve">: </w:t>
      </w:r>
      <w:r>
        <w:t>La valutazione delle conoscenze acquisite dagli studenti avviene tramite due prove scritte, una intermedia, avente ad oggetto gli argomenti trattati nella prima metà del corso ed una finale, avente ad oggetto gli argomenti trattati nella seconda metà del corso. Entrambe le prove sono composte da due parti ed hanno durata complessiva di 30 minuti. La prima parte di ciascuna prova è composta da 20 domande a risposta multipla sui concetti basilari del corso. Ogni risposta corretta contribuisce con 1.5 punti al voto finale. E’ previsto un meccanismo di penalizzazione di 0,5 punti per ogni risposta sbagliata. Sarà possibile sostenere la seconda prova d’esame durante il primo o secondo appello della sessione estiva.</w:t>
      </w:r>
    </w:p>
    <w:p w14:paraId="1DDA20F2" w14:textId="77777777" w:rsidR="005A5159" w:rsidRDefault="005A5159" w:rsidP="005A5159">
      <w:pPr>
        <w:pStyle w:val="Testo2"/>
        <w:spacing w:before="120"/>
      </w:pPr>
      <w:r w:rsidRPr="000B6E20">
        <w:rPr>
          <w:i/>
        </w:rPr>
        <w:t xml:space="preserve">Studenti </w:t>
      </w:r>
      <w:r>
        <w:rPr>
          <w:i/>
        </w:rPr>
        <w:t xml:space="preserve">non </w:t>
      </w:r>
      <w:r w:rsidRPr="000B6E20">
        <w:rPr>
          <w:i/>
        </w:rPr>
        <w:t>frequentanti</w:t>
      </w:r>
      <w:r>
        <w:rPr>
          <w:i/>
        </w:rPr>
        <w:t>:</w:t>
      </w:r>
      <w:r w:rsidRPr="00B024E5">
        <w:t xml:space="preserve"> </w:t>
      </w:r>
      <w:r>
        <w:t xml:space="preserve">La valutazione delle conoscenze acquisite dagli studenti avviene tramite un’unica prova scritta, avente ad oggetto gli argomenti trattati durante l’intero corso. La prova è formata da due parti ed ha durata complessiva di 30 minuti. La prima parte è composta da 20 domande a risposta multipla sui concetti basilari del corso. Ogni risposta </w:t>
      </w:r>
      <w:r>
        <w:lastRenderedPageBreak/>
        <w:t xml:space="preserve">corretta contribuisce con 1.5 punti al voto finale. E’ previsto un meccanismo di penalizzazione di 0,5 punti per ogni risposta sbagliata. </w:t>
      </w:r>
    </w:p>
    <w:p w14:paraId="5CB19736" w14:textId="77777777" w:rsidR="00754A51" w:rsidRDefault="00754A51" w:rsidP="00754A51">
      <w:pPr>
        <w:pStyle w:val="Testo2"/>
        <w:spacing w:before="240" w:after="120"/>
        <w:rPr>
          <w:b/>
          <w:i/>
        </w:rPr>
      </w:pPr>
      <w:r>
        <w:rPr>
          <w:b/>
          <w:i/>
        </w:rPr>
        <w:t>AVVERTENZE E PREREQUISITI</w:t>
      </w:r>
    </w:p>
    <w:p w14:paraId="2402D6CC" w14:textId="77777777" w:rsidR="00B6611F" w:rsidRPr="00754A51" w:rsidRDefault="00B6611F" w:rsidP="00B6611F">
      <w:pPr>
        <w:pStyle w:val="Testo2"/>
      </w:pPr>
      <w:r w:rsidRPr="00754A51">
        <w:t xml:space="preserve">Lo studente deve avere assimilato i principali concetti impartiti nel corso di Matematica, oltre che in quello di Economia Politica (Microeconomia). </w:t>
      </w:r>
    </w:p>
    <w:p w14:paraId="1BF72455" w14:textId="77777777" w:rsidR="00B6611F" w:rsidRPr="00754A51" w:rsidRDefault="00B6611F" w:rsidP="00B6611F">
      <w:pPr>
        <w:pStyle w:val="Testo2"/>
      </w:pPr>
      <w:r w:rsidRPr="00754A51">
        <w:t xml:space="preserve">Si invitano gli studenti a visionare il materiale integrativo reperibile sulla pagina personale dei docenti (interna al sito web dell’Università Cattolica). </w:t>
      </w:r>
    </w:p>
    <w:p w14:paraId="73398AA5" w14:textId="77777777" w:rsidR="00B6611F" w:rsidRDefault="00B6611F" w:rsidP="00B6611F">
      <w:pPr>
        <w:pStyle w:val="Testo2"/>
      </w:pPr>
      <w:r w:rsidRPr="00754A51">
        <w:t>I docenti, durante le lezioni, durante le ore di ricevimento, e con avviso apposto in Aula Virtuale o su Blackboard forniranno indicazioni specifiche sul raccordo fra le proprie lezioni ed i testi sopra elencati.</w:t>
      </w:r>
    </w:p>
    <w:p w14:paraId="7F8C136A" w14:textId="77777777" w:rsidR="00450AA8" w:rsidRDefault="00450AA8" w:rsidP="00450AA8">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5DD88131" w14:textId="54F5EC54" w:rsidR="007D30D9" w:rsidRPr="00C73050" w:rsidRDefault="00C73050" w:rsidP="00C73050">
      <w:pPr>
        <w:spacing w:before="120" w:line="240" w:lineRule="exact"/>
        <w:ind w:firstLine="284"/>
        <w:rPr>
          <w:bCs/>
          <w:i/>
          <w:sz w:val="18"/>
        </w:rPr>
      </w:pPr>
      <w:r>
        <w:rPr>
          <w:bCs/>
          <w:i/>
          <w:sz w:val="18"/>
        </w:rPr>
        <w:t>O</w:t>
      </w:r>
      <w:r w:rsidRPr="00C73050">
        <w:rPr>
          <w:bCs/>
          <w:i/>
          <w:sz w:val="18"/>
        </w:rPr>
        <w:t>rario e luogo di ricevimento degli studenti</w:t>
      </w:r>
    </w:p>
    <w:p w14:paraId="55E110E3" w14:textId="72E7C1B2" w:rsidR="007D30D9" w:rsidRPr="00040941" w:rsidRDefault="007D30D9" w:rsidP="0079115B">
      <w:pPr>
        <w:pStyle w:val="Testo2"/>
      </w:pPr>
      <w:r w:rsidRPr="00B1470A">
        <w:t>Il prof. Galli riceve gli studenti</w:t>
      </w:r>
      <w:r w:rsidR="00B1470A">
        <w:t xml:space="preserve"> nell’aula 448 (</w:t>
      </w:r>
      <w:r w:rsidR="0062319C">
        <w:t>II piano,</w:t>
      </w:r>
      <w:r w:rsidR="0062319C" w:rsidRPr="0062319C">
        <w:t xml:space="preserve"> </w:t>
      </w:r>
      <w:r w:rsidR="0062319C">
        <w:t xml:space="preserve">Facoltà di Economia, </w:t>
      </w:r>
      <w:r w:rsidR="00B1470A">
        <w:t xml:space="preserve">Roma) </w:t>
      </w:r>
      <w:r w:rsidR="00A43B21">
        <w:t>il giovedì dalle 16 alle 17</w:t>
      </w:r>
      <w:r w:rsidR="00B1470A">
        <w:t xml:space="preserve">, previo preavviso (email: </w:t>
      </w:r>
      <w:hyperlink r:id="rId6" w:history="1">
        <w:r w:rsidR="00B1470A" w:rsidRPr="00B50B85">
          <w:rPr>
            <w:rStyle w:val="Collegamentoipertestuale"/>
          </w:rPr>
          <w:t>giampaolo.galli@unicatt.it</w:t>
        </w:r>
      </w:hyperlink>
      <w:r w:rsidR="00B1470A">
        <w:t xml:space="preserve">). </w:t>
      </w:r>
      <w:r w:rsidRPr="00040941">
        <w:t xml:space="preserve">Il prof. Salmasi riceve gli studenti </w:t>
      </w:r>
      <w:bookmarkStart w:id="0" w:name="_Hlk101940816"/>
      <w:r>
        <w:t>presso l’ufficio 5</w:t>
      </w:r>
      <w:r w:rsidR="006B3186">
        <w:t>36</w:t>
      </w:r>
      <w:r>
        <w:t xml:space="preserve">, III Piano, Facoltà di Economia (campus di Roma) </w:t>
      </w:r>
      <w:r w:rsidR="0079115B">
        <w:t>come da orario pubblicato sulla Pagina Personale del Docente</w:t>
      </w:r>
      <w:r w:rsidRPr="00040941">
        <w:t>.</w:t>
      </w:r>
      <w:bookmarkEnd w:id="0"/>
      <w:r w:rsidRPr="00040941">
        <w:t xml:space="preserve"> </w:t>
      </w:r>
    </w:p>
    <w:p w14:paraId="3651B75F" w14:textId="77777777" w:rsidR="007D30D9" w:rsidRPr="00910823" w:rsidRDefault="007D30D9" w:rsidP="007D30D9">
      <w:pPr>
        <w:pStyle w:val="Testo2"/>
      </w:pPr>
      <w:r w:rsidRPr="00040941">
        <w:t>Nel caso in cui la</w:t>
      </w:r>
      <w:r>
        <w:t xml:space="preserve"> situazione sanitaria relativa alla pandemia di Covid-19 non dovesse consentire il ricevimento in presenza, sarà garantito il ricevimento </w:t>
      </w:r>
      <w:r w:rsidRPr="006B3B48">
        <w:rPr>
          <w:i/>
          <w:iCs/>
        </w:rPr>
        <w:t>online</w:t>
      </w:r>
      <w:r>
        <w:t>.</w:t>
      </w:r>
    </w:p>
    <w:p w14:paraId="0188DDDF" w14:textId="6A399002" w:rsidR="00B6611F" w:rsidRPr="00A93F07" w:rsidRDefault="00B6611F" w:rsidP="00450AA8">
      <w:pPr>
        <w:pStyle w:val="Testo2"/>
        <w:ind w:firstLine="0"/>
      </w:pPr>
    </w:p>
    <w:sectPr w:rsidR="00B6611F" w:rsidRPr="00A93F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8228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54"/>
    <w:rsid w:val="00005882"/>
    <w:rsid w:val="000F7E7C"/>
    <w:rsid w:val="00171A2E"/>
    <w:rsid w:val="00187B99"/>
    <w:rsid w:val="001E081D"/>
    <w:rsid w:val="002014DD"/>
    <w:rsid w:val="00223699"/>
    <w:rsid w:val="002D5E17"/>
    <w:rsid w:val="00320332"/>
    <w:rsid w:val="00450AA8"/>
    <w:rsid w:val="004D1217"/>
    <w:rsid w:val="004D3207"/>
    <w:rsid w:val="004D6008"/>
    <w:rsid w:val="005A5159"/>
    <w:rsid w:val="0062319C"/>
    <w:rsid w:val="00640794"/>
    <w:rsid w:val="006B3186"/>
    <w:rsid w:val="006F1772"/>
    <w:rsid w:val="00754A51"/>
    <w:rsid w:val="0079115B"/>
    <w:rsid w:val="007D30D9"/>
    <w:rsid w:val="0087252B"/>
    <w:rsid w:val="0088719D"/>
    <w:rsid w:val="00891E15"/>
    <w:rsid w:val="008942E7"/>
    <w:rsid w:val="008A1204"/>
    <w:rsid w:val="00900CCA"/>
    <w:rsid w:val="00924B77"/>
    <w:rsid w:val="00940DA2"/>
    <w:rsid w:val="009E055C"/>
    <w:rsid w:val="00A24742"/>
    <w:rsid w:val="00A43B21"/>
    <w:rsid w:val="00A74F6F"/>
    <w:rsid w:val="00AD7557"/>
    <w:rsid w:val="00AF66D0"/>
    <w:rsid w:val="00B1470A"/>
    <w:rsid w:val="00B50C5D"/>
    <w:rsid w:val="00B51253"/>
    <w:rsid w:val="00B525CC"/>
    <w:rsid w:val="00B6611F"/>
    <w:rsid w:val="00C73050"/>
    <w:rsid w:val="00CA4A1D"/>
    <w:rsid w:val="00D10F7D"/>
    <w:rsid w:val="00D404F2"/>
    <w:rsid w:val="00DF5DC7"/>
    <w:rsid w:val="00E607E6"/>
    <w:rsid w:val="00EA3A54"/>
    <w:rsid w:val="00F42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4FA26"/>
  <w15:chartTrackingRefBased/>
  <w15:docId w15:val="{5564ADB4-D5A3-4240-8D97-AF938A6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4D3207"/>
    <w:pPr>
      <w:tabs>
        <w:tab w:val="clear" w:pos="284"/>
      </w:tabs>
      <w:suppressAutoHyphens/>
      <w:spacing w:line="240" w:lineRule="auto"/>
      <w:ind w:left="720"/>
    </w:pPr>
    <w:rPr>
      <w:szCs w:val="20"/>
      <w:lang w:eastAsia="ar-SA"/>
    </w:rPr>
  </w:style>
  <w:style w:type="character" w:styleId="Collegamentoipertestuale">
    <w:name w:val="Hyperlink"/>
    <w:basedOn w:val="Carpredefinitoparagrafo"/>
    <w:rsid w:val="00B1470A"/>
    <w:rPr>
      <w:color w:val="0563C1" w:themeColor="hyperlink"/>
      <w:u w:val="single"/>
    </w:rPr>
  </w:style>
  <w:style w:type="character" w:styleId="Menzionenonrisolta">
    <w:name w:val="Unresolved Mention"/>
    <w:basedOn w:val="Carpredefinitoparagrafo"/>
    <w:uiPriority w:val="99"/>
    <w:semiHidden/>
    <w:unhideWhenUsed/>
    <w:rsid w:val="00B14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ampaolo.gall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942C-DFD7-431B-AA15-DACD2CC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868</Words>
  <Characters>5207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2022-05-12T12:14:00Z</dcterms:created>
  <dcterms:modified xsi:type="dcterms:W3CDTF">2022-05-12T12:14:00Z</dcterms:modified>
</cp:coreProperties>
</file>