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0CCA" w14:textId="77777777" w:rsidR="00EA38CE" w:rsidRDefault="008206E3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it-IT"/>
        </w:rPr>
        <w:t>Storia del lavoro e delle relazioni industriali</w:t>
      </w:r>
    </w:p>
    <w:p w14:paraId="1C4487F6" w14:textId="77777777" w:rsidR="00EA38CE" w:rsidRDefault="008206E3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>Prof. Nicola Martinelli; Prof. Nicola D’Erario</w:t>
      </w:r>
    </w:p>
    <w:p w14:paraId="0C20B566" w14:textId="77777777" w:rsidR="00EA38CE" w:rsidRDefault="008206E3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OBIETTIVO DEL CORSO E RISULTATI DI APPRENDIMENTO ATTESI</w:t>
      </w:r>
    </w:p>
    <w:p w14:paraId="5DDBB30A" w14:textId="77777777" w:rsidR="00EA38CE" w:rsidRDefault="008206E3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corso ha l’obiettivo di approfondire, in un’ottica di lungo periodo, comparata (Italia, Europa, Stati Uniti) e pluridisciplinare, le trasformazioni dei sistemi produttivi, l’evoluzione tecnologica e organizzativa delle imprese, la formazione e lo sviluppo dei rapporti collettivi tra lavoratori e imprenditori.</w:t>
      </w:r>
    </w:p>
    <w:p w14:paraId="50706E2F" w14:textId="77777777" w:rsidR="00EA38CE" w:rsidRDefault="008206E3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ruolo del lavoro organizzato e degli attori sociali verrà considerato anche in relazione all’affermazione degli assetti democratici pluralisti, al superamento della logica del “lavoro-merce” e all’avvio dell’incompiuta affermazione della centralità della persona lavoratore nelle imprese e negli equilibri economico sociali contemporanei.</w:t>
      </w:r>
    </w:p>
    <w:p w14:paraId="043FDBF7" w14:textId="77777777" w:rsidR="00EA38CE" w:rsidRDefault="008206E3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Il primo modulo considera, in premessa, le trasformazioni del lavoro dalle antiche corporazioni alle forme organizzative d’impresa novecentesche. Il cuore della trattazione riguarda le origini, la natura e i fini delle organizzazioni dei lavoratori e degli imprenditori in relazione all’evoluzione economica e ai diversi assetti politico-istituzionali in ambiente europeo e nord-americano fino a metà Novecento e alla nascita del </w:t>
      </w: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it-IT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it-IT"/>
        </w:rPr>
        <w:t>unionism</w:t>
      </w:r>
      <w:proofErr w:type="spellEnd"/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 xml:space="preserve">. </w:t>
      </w:r>
    </w:p>
    <w:p w14:paraId="20E652DF" w14:textId="77777777" w:rsidR="00EA38CE" w:rsidRDefault="008206E3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Il secondo modulo si concentrerà sul caso italiano, mettendo in luce evoluzione, caratteristiche e limiti del sistema di regolazione sociale del nostro Paese. Casi aziendali, presentati anche attraverso testimonianze di esperti, avvicineranno lo studente ai temi oggi presenti sul tavolo delle relazioni negoziali; metodologie di didattica attiva gli consentiranno di applicare le conoscenze acquisite a casi e contesti concreti e di misurarsi con gli strumenti e le complessità della pratica negoziale.</w:t>
      </w:r>
    </w:p>
    <w:p w14:paraId="3F05FB12" w14:textId="77777777" w:rsidR="00EA38CE" w:rsidRDefault="008206E3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it-IT"/>
        </w:rPr>
        <w:t>Al termine del corso lo studente avrà sviluppato competenze (conoscenze, abilità e sensibilità) utili per la gestione delle relazioni imprese-sindacati e del processo di contrattazione collettiva nell’ambito di organizzazioni complesse. Avrà acquisito conoscenze storiche sulla gestione e organizzazione delle imprese. Sarà in grado di applicare le conoscenze maturate per affinare la sua sensibilità e la sua capacità di comprensione di fenomeni economici complessi, anche attuali. In particolare, saprà riconoscere la rilevanza del «fattore umano», della contrattazione collettiva e delle istituzioni sociali per la promozione di processi sostenibili di sviluppo economico-sociale da parte delle imprese e dei lavoratori. Sarà in grado di padroneggiare il linguaggio specialistico utilizzato nell’ambito della contrattazione collettiva e delle relazioni industriali in genere.</w:t>
      </w:r>
    </w:p>
    <w:p w14:paraId="6895F4E7" w14:textId="77777777" w:rsidR="00EA38CE" w:rsidRDefault="008206E3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lastRenderedPageBreak/>
        <w:t>PROGRAMMA DEL CORSO</w:t>
      </w:r>
    </w:p>
    <w:p w14:paraId="5BE12054" w14:textId="77777777" w:rsidR="00EA38CE" w:rsidRDefault="008206E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>Primo Modulo (</w:t>
      </w:r>
      <w:r>
        <w:rPr>
          <w:rFonts w:ascii="Times" w:eastAsia="Times New Roman" w:hAnsi="Times" w:cs="Times New Roman"/>
          <w:i/>
          <w:iCs/>
          <w:sz w:val="18"/>
          <w:szCs w:val="18"/>
          <w:lang w:eastAsia="it-IT"/>
        </w:rPr>
        <w:t>prof. Nicola Martinelli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>)</w:t>
      </w:r>
    </w:p>
    <w:p w14:paraId="66A20B42" w14:textId="77777777" w:rsidR="00EA38CE" w:rsidRDefault="008206E3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>1)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Lavoro e rappresentanze del lavoro: le origini (XIX </w:t>
      </w:r>
      <w:proofErr w:type="gramStart"/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sec.-</w:t>
      </w:r>
      <w:proofErr w:type="gramEnd"/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1914)</w:t>
      </w:r>
    </w:p>
    <w:p w14:paraId="7196CD86" w14:textId="77777777" w:rsidR="00EA38CE" w:rsidRDefault="008206E3">
      <w:pPr>
        <w:numPr>
          <w:ilvl w:val="0"/>
          <w:numId w:val="5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Introduzione: concetti di riferimento e categorie storiografiche.</w:t>
      </w:r>
    </w:p>
    <w:p w14:paraId="415772C2" w14:textId="77777777" w:rsidR="00EA38CE" w:rsidRDefault="008206E3">
      <w:pPr>
        <w:numPr>
          <w:ilvl w:val="0"/>
          <w:numId w:val="6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L’organizzazione del lavoro tra manifattura e fabbrica.</w:t>
      </w:r>
    </w:p>
    <w:p w14:paraId="52DA57AA" w14:textId="77777777" w:rsidR="00EA38CE" w:rsidRDefault="008206E3">
      <w:pPr>
        <w:numPr>
          <w:ilvl w:val="0"/>
          <w:numId w:val="7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 xml:space="preserve">Natura e fini delle rappresentanze del lavoro: le Trade </w:t>
      </w:r>
      <w:proofErr w:type="spellStart"/>
      <w:r>
        <w:rPr>
          <w:rFonts w:ascii="Times" w:eastAsia="MS Mincho" w:hAnsi="Times" w:cs="Times New Roman"/>
          <w:sz w:val="20"/>
          <w:szCs w:val="20"/>
          <w:lang w:eastAsia="it-IT"/>
        </w:rPr>
        <w:t>unions</w:t>
      </w:r>
      <w:proofErr w:type="spellEnd"/>
      <w:r>
        <w:rPr>
          <w:rFonts w:ascii="Times" w:eastAsia="MS Mincho" w:hAnsi="Times" w:cs="Times New Roman"/>
          <w:sz w:val="20"/>
          <w:szCs w:val="20"/>
          <w:lang w:eastAsia="it-IT"/>
        </w:rPr>
        <w:t>.</w:t>
      </w:r>
    </w:p>
    <w:p w14:paraId="1D61F0C6" w14:textId="77777777" w:rsidR="00EA38CE" w:rsidRDefault="008206E3">
      <w:pPr>
        <w:numPr>
          <w:ilvl w:val="0"/>
          <w:numId w:val="8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L’idealtipo inglese e le derivazioni pluralistiche nell’Europa continentale.</w:t>
      </w:r>
    </w:p>
    <w:p w14:paraId="515E9181" w14:textId="77777777" w:rsidR="00EA38CE" w:rsidRDefault="008206E3">
      <w:pPr>
        <w:numPr>
          <w:ilvl w:val="0"/>
          <w:numId w:val="9"/>
        </w:numPr>
        <w:tabs>
          <w:tab w:val="left" w:pos="284"/>
        </w:tabs>
        <w:spacing w:after="0" w:line="240" w:lineRule="exact"/>
        <w:ind w:left="567" w:hanging="283"/>
        <w:contextualSpacing/>
        <w:jc w:val="both"/>
        <w:rPr>
          <w:rFonts w:ascii="Times" w:eastAsia="MS Mincho" w:hAnsi="Times" w:cs="Times New Roman"/>
          <w:sz w:val="20"/>
          <w:szCs w:val="20"/>
          <w:lang w:eastAsia="it-IT"/>
        </w:rPr>
      </w:pPr>
      <w:r>
        <w:rPr>
          <w:rFonts w:ascii="Times" w:eastAsia="MS Mincho" w:hAnsi="Times" w:cs="Times New Roman"/>
          <w:sz w:val="20"/>
          <w:szCs w:val="20"/>
          <w:lang w:eastAsia="it-IT"/>
        </w:rPr>
        <w:t>Rappresentanze degli interessi e sistema economico nel capitalismo industriale delle origini.</w:t>
      </w:r>
    </w:p>
    <w:p w14:paraId="1F3E8279" w14:textId="77777777" w:rsidR="00EA38CE" w:rsidRDefault="008206E3">
      <w:pPr>
        <w:tabs>
          <w:tab w:val="left" w:pos="284"/>
        </w:tabs>
        <w:spacing w:after="0" w:line="220" w:lineRule="exact"/>
        <w:jc w:val="both"/>
        <w:rPr>
          <w:rFonts w:ascii="Times" w:eastAsia="Times New Roman" w:hAnsi="Times" w:cs="Times New Roman"/>
          <w:i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>2)</w:t>
      </w: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ab/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Capitalismo dei monopoli e ristrutturazione delle rappresentanze (1914 - 1950)</w:t>
      </w:r>
    </w:p>
    <w:p w14:paraId="3C200E4F" w14:textId="77777777" w:rsidR="00EA38CE" w:rsidRDefault="008206E3">
      <w:pPr>
        <w:tabs>
          <w:tab w:val="left" w:pos="266"/>
          <w:tab w:val="left" w:pos="284"/>
          <w:tab w:val="left" w:pos="566"/>
        </w:tabs>
        <w:spacing w:after="0" w:line="22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f</w:t>
      </w:r>
      <w:r>
        <w:rPr>
          <w:rFonts w:ascii="Times" w:eastAsia="MS Mincho" w:hAnsi="Times" w:cs="Times New Roman"/>
          <w:sz w:val="20"/>
          <w:szCs w:val="20"/>
          <w:lang w:eastAsia="it-IT"/>
        </w:rPr>
        <w:t>.</w:t>
      </w:r>
      <w:r>
        <w:rPr>
          <w:rFonts w:ascii="Times" w:eastAsia="MS Mincho" w:hAnsi="Times" w:cs="Times New Roman"/>
          <w:sz w:val="20"/>
          <w:szCs w:val="20"/>
          <w:lang w:eastAsia="it-IT"/>
        </w:rPr>
        <w:tab/>
        <w:t>I nuovi paradigmi industriali: Taylor e Ford.</w:t>
      </w:r>
    </w:p>
    <w:p w14:paraId="34D1C8F0" w14:textId="77777777" w:rsidR="00EA38CE" w:rsidRDefault="008206E3">
      <w:pPr>
        <w:tabs>
          <w:tab w:val="left" w:pos="266"/>
          <w:tab w:val="left" w:pos="284"/>
          <w:tab w:val="left" w:pos="566"/>
        </w:tabs>
        <w:spacing w:after="0" w:line="220" w:lineRule="exact"/>
        <w:jc w:val="both"/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g.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Libertà democratiche vs. istituzionalizzazione.</w:t>
      </w:r>
    </w:p>
    <w:p w14:paraId="6F1669AA" w14:textId="77777777" w:rsidR="00EA38CE" w:rsidRDefault="008206E3">
      <w:pPr>
        <w:tabs>
          <w:tab w:val="left" w:pos="266"/>
          <w:tab w:val="left" w:pos="284"/>
          <w:tab w:val="left" w:pos="566"/>
        </w:tabs>
        <w:spacing w:after="0" w:line="220" w:lineRule="exact"/>
        <w:jc w:val="both"/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h.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 xml:space="preserve">L’esperienza USA: </w:t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New deal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 xml:space="preserve"> e «</w:t>
      </w:r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 xml:space="preserve">new </w:t>
      </w:r>
      <w:proofErr w:type="spellStart"/>
      <w:r>
        <w:rPr>
          <w:rFonts w:ascii="Times" w:eastAsia="Times New Roman" w:hAnsi="Times" w:cs="Times New Roman"/>
          <w:i/>
          <w:sz w:val="20"/>
          <w:szCs w:val="20"/>
          <w:lang w:eastAsia="it-IT"/>
        </w:rPr>
        <w:t>unionism</w:t>
      </w:r>
      <w:proofErr w:type="spellEnd"/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>».</w:t>
      </w:r>
    </w:p>
    <w:p w14:paraId="46A9F2DC" w14:textId="1CF75BFF" w:rsidR="00EA38CE" w:rsidRPr="00BB7607" w:rsidRDefault="008206E3" w:rsidP="00BB7607">
      <w:pPr>
        <w:tabs>
          <w:tab w:val="left" w:pos="284"/>
          <w:tab w:val="left" w:pos="566"/>
        </w:tabs>
        <w:spacing w:after="0" w:line="220" w:lineRule="exact"/>
        <w:jc w:val="both"/>
        <w:rPr>
          <w:rFonts w:ascii="Times" w:eastAsia="Times New Roman" w:hAnsi="Times" w:cs="Times New Roman"/>
          <w:iCs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  <w:t>i.</w:t>
      </w:r>
      <w:r>
        <w:rPr>
          <w:rFonts w:ascii="Times" w:eastAsia="Times New Roman" w:hAnsi="Times" w:cs="Times New Roman"/>
          <w:iCs/>
          <w:sz w:val="20"/>
          <w:szCs w:val="20"/>
          <w:lang w:eastAsia="it-IT"/>
        </w:rPr>
        <w:tab/>
      </w:r>
      <w:r>
        <w:rPr>
          <w:rFonts w:ascii="Times" w:eastAsia="MS Mincho" w:hAnsi="Times" w:cs="Times New Roman"/>
          <w:iCs/>
          <w:sz w:val="20"/>
          <w:szCs w:val="20"/>
          <w:lang w:eastAsia="it-IT"/>
        </w:rPr>
        <w:t>Sindacato e relazioni industriali nei sistemi di «economia mista».</w:t>
      </w:r>
    </w:p>
    <w:p w14:paraId="00D6B70B" w14:textId="77777777" w:rsidR="00EA38CE" w:rsidRDefault="008206E3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mallCaps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mallCaps/>
          <w:sz w:val="18"/>
          <w:szCs w:val="18"/>
          <w:lang w:eastAsia="it-IT"/>
        </w:rPr>
        <w:t>Secondo Modulo (</w:t>
      </w:r>
      <w:r>
        <w:rPr>
          <w:rFonts w:ascii="Times" w:eastAsia="Times New Roman" w:hAnsi="Times" w:cs="Times New Roman"/>
          <w:i/>
          <w:iCs/>
          <w:sz w:val="18"/>
          <w:szCs w:val="18"/>
          <w:lang w:eastAsia="it-IT"/>
        </w:rPr>
        <w:t>prof. Nicola D’Erario)</w:t>
      </w:r>
    </w:p>
    <w:p w14:paraId="4838E1A9" w14:textId="77777777" w:rsidR="00EA38CE" w:rsidRDefault="008206E3">
      <w:pPr>
        <w:tabs>
          <w:tab w:val="left" w:pos="284"/>
          <w:tab w:val="left" w:pos="566"/>
        </w:tabs>
        <w:spacing w:after="0" w:line="220" w:lineRule="exact"/>
        <w:jc w:val="both"/>
      </w:pPr>
      <w:r>
        <w:rPr>
          <w:rFonts w:ascii="Times" w:eastAsia="Times New Roman" w:hAnsi="Times" w:cs="Times New Roman"/>
          <w:color w:val="000000"/>
          <w:sz w:val="18"/>
          <w:szCs w:val="18"/>
          <w:lang w:eastAsia="it-IT"/>
        </w:rPr>
        <w:t>1)</w:t>
      </w:r>
      <w:r>
        <w:rPr>
          <w:rFonts w:ascii="Times" w:eastAsia="Times New Roman" w:hAnsi="Times" w:cs="Times New Roman"/>
          <w:color w:val="000000"/>
          <w:sz w:val="20"/>
          <w:szCs w:val="20"/>
          <w:lang w:eastAsia="it-IT"/>
        </w:rPr>
        <w:tab/>
      </w:r>
      <w:r>
        <w:rPr>
          <w:rFonts w:ascii="Times" w:eastAsia="Times New Roman" w:hAnsi="Times" w:cs="Times New Roman"/>
          <w:i/>
          <w:iCs/>
          <w:color w:val="000000"/>
          <w:sz w:val="20"/>
          <w:szCs w:val="20"/>
          <w:lang w:eastAsia="it-IT"/>
        </w:rPr>
        <w:t xml:space="preserve"> La regolazione incompiuta: il caso italiano nel Novecento</w:t>
      </w:r>
    </w:p>
    <w:p w14:paraId="4935E0DE" w14:textId="77777777" w:rsidR="00EA38CE" w:rsidRDefault="008206E3">
      <w:pPr>
        <w:numPr>
          <w:ilvl w:val="0"/>
          <w:numId w:val="3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Le origini delle relazioni industriali in Italia: rappresentanza, rappresentatività e contrattazione.</w:t>
      </w:r>
    </w:p>
    <w:p w14:paraId="33008D19" w14:textId="77777777" w:rsidR="00EA38CE" w:rsidRDefault="008206E3">
      <w:pPr>
        <w:numPr>
          <w:ilvl w:val="0"/>
          <w:numId w:val="3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Dal modello sindacale corporativo alla </w:t>
      </w:r>
      <w:proofErr w:type="gramStart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Carta Costituzionale</w:t>
      </w:r>
      <w:proofErr w:type="gramEnd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.</w:t>
      </w:r>
    </w:p>
    <w:p w14:paraId="3731D9DD" w14:textId="77777777" w:rsidR="00EA38CE" w:rsidRDefault="008206E3">
      <w:pPr>
        <w:numPr>
          <w:ilvl w:val="0"/>
          <w:numId w:val="3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 Gli anni del “miracolo economico” e le difficoltà nel costruire un sistema sindacale </w:t>
      </w:r>
      <w:proofErr w:type="spellStart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partecipiativo</w:t>
      </w:r>
      <w:proofErr w:type="spellEnd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.</w:t>
      </w:r>
    </w:p>
    <w:p w14:paraId="0E7FCEB3" w14:textId="77777777" w:rsidR="00EA38CE" w:rsidRDefault="008206E3">
      <w:pPr>
        <w:numPr>
          <w:ilvl w:val="0"/>
          <w:numId w:val="3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Gli anni </w:t>
      </w:r>
      <w:proofErr w:type="gramStart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settanta</w:t>
      </w:r>
      <w:proofErr w:type="gramEnd"/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 xml:space="preserve"> tra crisi economica ed evoluzione dei modelli di impresa: il cambiamento della rappresentanza in un contesto di conflittualità permanente.</w:t>
      </w:r>
    </w:p>
    <w:p w14:paraId="58297394" w14:textId="77777777" w:rsidR="00EA38CE" w:rsidRDefault="008206E3">
      <w:pPr>
        <w:numPr>
          <w:ilvl w:val="0"/>
          <w:numId w:val="3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Globalizzazione e nuovi assetti economici: il modello della concertazione tra Parti Sociali come strumento di nuova responsabilità.</w:t>
      </w:r>
    </w:p>
    <w:p w14:paraId="4D8FD17C" w14:textId="6E6962DB" w:rsidR="00EA38CE" w:rsidRPr="008206E3" w:rsidRDefault="008206E3" w:rsidP="008206E3">
      <w:pPr>
        <w:numPr>
          <w:ilvl w:val="0"/>
          <w:numId w:val="3"/>
        </w:numPr>
        <w:tabs>
          <w:tab w:val="clear" w:pos="720"/>
          <w:tab w:val="left" w:pos="284"/>
          <w:tab w:val="left" w:pos="677"/>
        </w:tabs>
        <w:spacing w:after="0" w:line="220" w:lineRule="exact"/>
        <w:ind w:left="624" w:hanging="340"/>
        <w:jc w:val="both"/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</w:pPr>
      <w:r>
        <w:rPr>
          <w:rFonts w:ascii="Times" w:eastAsia="Times New Roman" w:hAnsi="Times" w:cs="Times New Roman"/>
          <w:iCs/>
          <w:color w:val="000000"/>
          <w:sz w:val="20"/>
          <w:szCs w:val="20"/>
          <w:lang w:eastAsia="it-IT"/>
        </w:rPr>
        <w:t>La trasformazione del lavoro e il passo delle relazioni industriali: problemi e prospettive.</w:t>
      </w:r>
    </w:p>
    <w:p w14:paraId="21645093" w14:textId="2AFDFE4C" w:rsidR="00EA38CE" w:rsidRDefault="008206E3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BIBLIOGRAFIA</w:t>
      </w:r>
    </w:p>
    <w:p w14:paraId="2073D8AB" w14:textId="4AC407E4" w:rsidR="00EA38CE" w:rsidRDefault="008206E3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</w:pPr>
      <w:r w:rsidRPr="00BB7607"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M. Romani</w:t>
      </w:r>
      <w:r>
        <w:rPr>
          <w:rFonts w:ascii="Times" w:eastAsia="Times New Roman" w:hAnsi="Times" w:cs="Times New Roman"/>
          <w:smallCaps/>
          <w:spacing w:val="-5"/>
          <w:sz w:val="16"/>
          <w:szCs w:val="20"/>
          <w:lang w:eastAsia="it-IT"/>
        </w:rPr>
        <w:t>,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Appunti sull'evoluzione del sindacato,</w:t>
      </w: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 xml:space="preserve"> Edizioni Lavoro, Roma, 1981 (o edizioni successive). </w:t>
      </w:r>
    </w:p>
    <w:p w14:paraId="174BD39E" w14:textId="5D6F91C3" w:rsidR="00EA38CE" w:rsidRDefault="008206E3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M. De Luca,</w:t>
      </w:r>
      <w:r>
        <w:rPr>
          <w:rFonts w:ascii="Times" w:eastAsia="Times New Roman" w:hAnsi="Times" w:cs="Times New Roman"/>
          <w:i/>
          <w:spacing w:val="-5"/>
          <w:sz w:val="18"/>
          <w:szCs w:val="20"/>
          <w:lang w:eastAsia="it-IT"/>
        </w:rPr>
        <w:t xml:space="preserve"> «Nel rispetto dei reciproci ruoli…». Lineamenti di storia della contrattazione collettiva in Italia,</w:t>
      </w: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 xml:space="preserve"> Vita e Pensiero, Milano, 2013. </w:t>
      </w:r>
    </w:p>
    <w:p w14:paraId="5302106A" w14:textId="77777777" w:rsidR="00EA38CE" w:rsidRDefault="008206E3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 xml:space="preserve">Documenti, letture e filmati forniti dai docenti su </w:t>
      </w:r>
      <w:proofErr w:type="spellStart"/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Blackboard</w:t>
      </w:r>
      <w:proofErr w:type="spellEnd"/>
      <w:r>
        <w:rPr>
          <w:rFonts w:ascii="Times" w:eastAsia="Times New Roman" w:hAnsi="Times" w:cs="Times New Roman"/>
          <w:spacing w:val="-5"/>
          <w:sz w:val="18"/>
          <w:szCs w:val="20"/>
          <w:lang w:eastAsia="it-IT"/>
        </w:rPr>
        <w:t>.</w:t>
      </w:r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 </w:t>
      </w:r>
    </w:p>
    <w:p w14:paraId="113C9F4F" w14:textId="77777777" w:rsidR="00EA38CE" w:rsidRDefault="008206E3">
      <w:p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t>Ai frequentanti saranno fornite indicazioni puntuali sull’uso della bibliografia e dei materiali didattici ai fini della prova d’esame.</w:t>
      </w:r>
    </w:p>
    <w:p w14:paraId="5DB84348" w14:textId="77777777" w:rsidR="00EA38CE" w:rsidRDefault="008206E3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DIDATTICA DEL CORSO</w:t>
      </w:r>
    </w:p>
    <w:p w14:paraId="00FA1A18" w14:textId="77777777" w:rsidR="00EA38CE" w:rsidRDefault="008206E3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lastRenderedPageBreak/>
        <w:t xml:space="preserve">Lezioni frontali </w:t>
      </w:r>
      <w:r>
        <w:rPr>
          <w:rFonts w:ascii="Times" w:eastAsia="Times New Roman" w:hAnsi="Times" w:cs="Times New Roman"/>
          <w:sz w:val="18"/>
          <w:szCs w:val="18"/>
          <w:lang w:eastAsia="it-IT"/>
        </w:rPr>
        <w:t xml:space="preserve">o a distanza mediante </w:t>
      </w:r>
      <w:proofErr w:type="spellStart"/>
      <w:r>
        <w:rPr>
          <w:rFonts w:ascii="Times" w:eastAsia="Times New Roman" w:hAnsi="Times" w:cs="Times New Roman"/>
          <w:sz w:val="18"/>
          <w:szCs w:val="18"/>
          <w:lang w:eastAsia="it-IT"/>
        </w:rPr>
        <w:t>Blackboard</w:t>
      </w:r>
      <w:proofErr w:type="spellEnd"/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 </w:t>
      </w:r>
      <w:proofErr w:type="spellStart"/>
      <w:r>
        <w:rPr>
          <w:rFonts w:ascii="Times" w:eastAsia="Times New Roman" w:hAnsi="Times" w:cs="Times New Roman"/>
          <w:sz w:val="18"/>
          <w:szCs w:val="20"/>
          <w:lang w:eastAsia="it-IT"/>
        </w:rPr>
        <w:t>Testimonanze</w:t>
      </w:r>
      <w:proofErr w:type="spellEnd"/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 di esperti. Didattica attiva (analisi di testi su supporto cartaceo, documenti multimediali, case study).</w:t>
      </w:r>
    </w:p>
    <w:p w14:paraId="15C7C4A4" w14:textId="77777777" w:rsidR="00EA38CE" w:rsidRDefault="008206E3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METODO E CRITERI DI VALUTAZIONE</w:t>
      </w:r>
    </w:p>
    <w:p w14:paraId="2BCF8AB7" w14:textId="77777777" w:rsidR="00EA38CE" w:rsidRDefault="008206E3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Esame orale in forma di colloquio.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>L’accertamento</w:t>
      </w:r>
      <w:r>
        <w:rPr>
          <w:rFonts w:ascii="Times" w:eastAsia="Times New Roman" w:hAnsi="Times" w:cs="Times New Roman"/>
          <w:sz w:val="18"/>
          <w:szCs w:val="18"/>
          <w:lang w:eastAsia="it-IT"/>
        </w:rPr>
        <w:t xml:space="preserve"> delle conoscenze si sviluppa a tre livelli: conoscenza delle nozioni di base della disciplina e dei fatti storici in sequenza cronologica; capacità di procedere ad analisi comparate tra contesti ed esperienze diversamente collocate nel tempo e nello spazio; piena padronanza delle interconnessioni di causa/effetto dei processi storici e delle categorie interpretative della disciplina.</w:t>
      </w:r>
    </w:p>
    <w:p w14:paraId="54096A3B" w14:textId="77777777" w:rsidR="00EA38CE" w:rsidRDefault="008206E3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z w:val="18"/>
          <w:szCs w:val="18"/>
          <w:lang w:eastAsia="it-IT"/>
        </w:rPr>
        <w:t>Al fine della valutazione concorrono dunque: la pertinenza e la chiarezza delle risposte; l’uso appropriato dei concetti e della terminologia propri della disciplina; la padronanza della cronologia di riferimento; lo sviluppo di analisi diacroniche e sincroniche tra fenomeni; i diversi livelli di approfondimento delle argomentazioni. Elemento qualificante della valutazione finale è la padronanza dei nessi interpretativi.</w:t>
      </w:r>
      <w:r>
        <w:rPr>
          <w:rFonts w:ascii="Times" w:eastAsia="Times New Roman" w:hAnsi="Times" w:cs="Times New Roman"/>
          <w:sz w:val="18"/>
          <w:szCs w:val="18"/>
          <w:highlight w:val="yellow"/>
          <w:lang w:eastAsia="it-IT"/>
        </w:rPr>
        <w:t xml:space="preserve"> </w:t>
      </w:r>
    </w:p>
    <w:p w14:paraId="083D302B" w14:textId="77777777" w:rsidR="00EA38CE" w:rsidRDefault="008206E3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18"/>
          <w:lang w:eastAsia="it-IT"/>
        </w:rPr>
      </w:pPr>
      <w:r>
        <w:rPr>
          <w:rFonts w:ascii="Times" w:eastAsia="Times New Roman" w:hAnsi="Times" w:cs="Times New Roman"/>
          <w:sz w:val="18"/>
          <w:szCs w:val="18"/>
          <w:lang w:eastAsia="it-IT"/>
        </w:rPr>
        <w:t>Il voto finale è unico e tiene conto per il 50% delle conoscenze di base (concetti, terminologia, cronologia), per il 25% delle conoscenze intermedie (primo livello di argomentazione, analisi comparate), per il 25% della piena padronanza della materia (argomentazioni complesse, nessi interpretativi).</w:t>
      </w:r>
    </w:p>
    <w:p w14:paraId="2E6D8B6F" w14:textId="77777777" w:rsidR="00EA38CE" w:rsidRDefault="008206E3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t>L’eventuale partecipazione attiva al lavoro in aula (relazioni di approfondimento, analisi di documenti e di filmati, case study) consente di acquisire una valutazione integrativa del risultato conseguito in sede di verifica finale.</w:t>
      </w:r>
    </w:p>
    <w:p w14:paraId="3B8AE270" w14:textId="77777777" w:rsidR="00EA38CE" w:rsidRDefault="008206E3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</w:pPr>
      <w:r>
        <w:rPr>
          <w:rFonts w:ascii="Times New Roman" w:eastAsia="MS Mincho" w:hAnsi="Times New Roman" w:cs="Times New Roman"/>
          <w:b/>
          <w:i/>
          <w:sz w:val="18"/>
          <w:szCs w:val="24"/>
          <w:lang w:eastAsia="it-IT"/>
        </w:rPr>
        <w:t>AVVERTENZE E PREREQUISITI</w:t>
      </w:r>
    </w:p>
    <w:p w14:paraId="5A1DB69B" w14:textId="77777777" w:rsidR="00EA38CE" w:rsidRDefault="008206E3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z w:val="18"/>
          <w:szCs w:val="20"/>
          <w:lang w:eastAsia="it-IT"/>
        </w:rPr>
        <w:t xml:space="preserve">Il corso presuppone la conoscenza delle principali vicende della storia contemporanea così come risultano da un buon manuale della scuola media superiore </w:t>
      </w:r>
    </w:p>
    <w:sectPr w:rsidR="00EA38CE">
      <w:pgSz w:w="11906" w:h="16838"/>
      <w:pgMar w:top="3515" w:right="2608" w:bottom="3515" w:left="2608" w:header="0" w:footer="0" w:gutter="0"/>
      <w:cols w:space="720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F08F" w14:textId="77777777" w:rsidR="00316C40" w:rsidRDefault="008206E3">
      <w:pPr>
        <w:spacing w:after="0" w:line="240" w:lineRule="auto"/>
      </w:pPr>
      <w:r>
        <w:separator/>
      </w:r>
    </w:p>
  </w:endnote>
  <w:endnote w:type="continuationSeparator" w:id="0">
    <w:p w14:paraId="53CC7109" w14:textId="77777777" w:rsidR="00316C40" w:rsidRDefault="0082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⪁衒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A239" w14:textId="77777777" w:rsidR="00EA38CE" w:rsidRDefault="008206E3">
      <w:pPr>
        <w:rPr>
          <w:sz w:val="12"/>
        </w:rPr>
      </w:pPr>
      <w:r>
        <w:separator/>
      </w:r>
    </w:p>
  </w:footnote>
  <w:footnote w:type="continuationSeparator" w:id="0">
    <w:p w14:paraId="3489FC61" w14:textId="77777777" w:rsidR="00EA38CE" w:rsidRDefault="008206E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7A2D"/>
    <w:multiLevelType w:val="multilevel"/>
    <w:tmpl w:val="A2E4A78E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 w15:restartNumberingAfterBreak="0">
    <w:nsid w:val="18B507D8"/>
    <w:multiLevelType w:val="multilevel"/>
    <w:tmpl w:val="12FCCADC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20162845"/>
    <w:multiLevelType w:val="multilevel"/>
    <w:tmpl w:val="227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490042E"/>
    <w:multiLevelType w:val="multilevel"/>
    <w:tmpl w:val="36A85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3258144">
    <w:abstractNumId w:val="3"/>
  </w:num>
  <w:num w:numId="2" w16cid:durableId="207687791">
    <w:abstractNumId w:val="0"/>
  </w:num>
  <w:num w:numId="3" w16cid:durableId="292712735">
    <w:abstractNumId w:val="2"/>
  </w:num>
  <w:num w:numId="4" w16cid:durableId="1862282084">
    <w:abstractNumId w:val="1"/>
  </w:num>
  <w:num w:numId="5" w16cid:durableId="1407725097">
    <w:abstractNumId w:val="1"/>
    <w:lvlOverride w:ilvl="0">
      <w:startOverride w:val="1"/>
    </w:lvlOverride>
  </w:num>
  <w:num w:numId="6" w16cid:durableId="1996109822">
    <w:abstractNumId w:val="1"/>
  </w:num>
  <w:num w:numId="7" w16cid:durableId="217396905">
    <w:abstractNumId w:val="1"/>
  </w:num>
  <w:num w:numId="8" w16cid:durableId="1769886247">
    <w:abstractNumId w:val="1"/>
  </w:num>
  <w:num w:numId="9" w16cid:durableId="61455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CE"/>
    <w:rsid w:val="00316C40"/>
    <w:rsid w:val="003C16F2"/>
    <w:rsid w:val="008206E3"/>
    <w:rsid w:val="00A42314"/>
    <w:rsid w:val="00BB7607"/>
    <w:rsid w:val="00E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6CEE"/>
  <w15:docId w15:val="{B4845D0A-AF5C-4829-981D-C9D4EB3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C4D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BC4DEF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C4D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C4DEF"/>
    <w:rPr>
      <w:color w:val="605E5C"/>
      <w:shd w:val="clear" w:color="auto" w:fill="E1DFDD"/>
    </w:rPr>
  </w:style>
  <w:style w:type="character" w:customStyle="1" w:styleId="Numerazionerighe">
    <w:name w:val="Numerazione righe"/>
  </w:style>
  <w:style w:type="character" w:customStyle="1" w:styleId="Caratterinotaapidipagina">
    <w:name w:val="Caratteri nota a piè di pagina"/>
    <w:qFormat/>
  </w:style>
  <w:style w:type="character" w:customStyle="1" w:styleId="Caratteridinumerazione">
    <w:name w:val="Caratteri di numerazione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C4DEF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1ACF02B2BA642A31B99ABF5F6C4A8" ma:contentTypeVersion="13" ma:contentTypeDescription="Creare un nuovo documento." ma:contentTypeScope="" ma:versionID="020e71a7392d23f6bf416c6d0724998d">
  <xsd:schema xmlns:xsd="http://www.w3.org/2001/XMLSchema" xmlns:xs="http://www.w3.org/2001/XMLSchema" xmlns:p="http://schemas.microsoft.com/office/2006/metadata/properties" xmlns:ns2="cc7bc9fa-4e5e-47a5-b994-d2eaca0cad52" xmlns:ns3="04c40330-02bb-4fa6-9116-f11a708d3e62" targetNamespace="http://schemas.microsoft.com/office/2006/metadata/properties" ma:root="true" ma:fieldsID="3b4f88f7ff4c68a157ffedb42a02aff6" ns2:_="" ns3:_="">
    <xsd:import namespace="cc7bc9fa-4e5e-47a5-b994-d2eaca0cad52"/>
    <xsd:import namespace="04c40330-02bb-4fa6-9116-f11a708d3e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bc9fa-4e5e-47a5-b994-d2eaca0c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40330-02bb-4fa6-9116-f11a708d3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87CB0-439D-4BFB-A894-9A300963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bc9fa-4e5e-47a5-b994-d2eaca0cad52"/>
    <ds:schemaRef ds:uri="04c40330-02bb-4fa6-9116-f11a708d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2CE2A-E7DA-4D64-B125-94FD16EFE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4EC23-D242-4439-88EE-4F031BE752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Martinelli Nicola (nicola.martinelli)</dc:creator>
  <dc:description/>
  <cp:lastModifiedBy>Guglielmetti Pietro</cp:lastModifiedBy>
  <cp:revision>4</cp:revision>
  <dcterms:created xsi:type="dcterms:W3CDTF">2022-05-19T12:39:00Z</dcterms:created>
  <dcterms:modified xsi:type="dcterms:W3CDTF">2022-06-13T13:55:00Z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0x01010011D1ACF02B2BA642A31B99ABF5F6C4A8</vt:lpwstr>
  </property>
</Properties>
</file>