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D387" w14:textId="1697FEFD" w:rsidR="002D5E17" w:rsidRDefault="000F5E2A" w:rsidP="002D5E17">
      <w:pPr>
        <w:pStyle w:val="Titolo1"/>
      </w:pPr>
      <w:r>
        <w:t>Human resource</w:t>
      </w:r>
      <w:r w:rsidR="00275158">
        <w:t>s</w:t>
      </w:r>
      <w:r>
        <w:t xml:space="preserve"> management in complex organizations</w:t>
      </w:r>
    </w:p>
    <w:p w14:paraId="7802DD87" w14:textId="0B5228EE" w:rsidR="000F5E2A" w:rsidRDefault="000F5E2A" w:rsidP="000F5E2A">
      <w:pPr>
        <w:pStyle w:val="Titolo2"/>
      </w:pPr>
      <w:r>
        <w:t>Prof. Americo Cicchetti; Prof. Magdalene Rosenmoeller</w:t>
      </w:r>
    </w:p>
    <w:p w14:paraId="69F8FA3D" w14:textId="5651517C" w:rsidR="000F5E2A" w:rsidRDefault="000F5E2A" w:rsidP="000F5E2A">
      <w:pPr>
        <w:pStyle w:val="Titolo3"/>
        <w:rPr>
          <w:b/>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14:paraId="079E10E8" w14:textId="77777777" w:rsidR="000F5E2A" w:rsidRPr="000F5E2A" w:rsidRDefault="000F5E2A" w:rsidP="000F5E2A">
      <w:pPr>
        <w:jc w:val="both"/>
        <w:rPr>
          <w:rFonts w:ascii="Times" w:hAnsi="Times" w:cs="Times"/>
          <w:sz w:val="20"/>
          <w:szCs w:val="20"/>
          <w:lang w:val="en-GB"/>
        </w:rPr>
      </w:pPr>
      <w:r w:rsidRPr="000F5E2A">
        <w:rPr>
          <w:rFonts w:ascii="Times" w:hAnsi="Times" w:cs="Times"/>
          <w:sz w:val="20"/>
          <w:szCs w:val="20"/>
          <w:lang w:val="en-GB"/>
        </w:rPr>
        <w:t>Healthcare organizations are characterized by the central role of human capital in determining quality of care and financial performance. The course aims at providing students with a good knowledge of HRM processes and tools, with a specific focus on their implementation in the healthcare sector. The objective of the course is to develop both theoretical knowledge and practical skills connected to some of the most effective HRM tools used in complex organizations.</w:t>
      </w:r>
      <w:r w:rsidRPr="000F5E2A">
        <w:rPr>
          <w:rFonts w:ascii="Times" w:hAnsi="Times" w:cs="Times"/>
          <w:sz w:val="20"/>
          <w:szCs w:val="20"/>
          <w:lang w:val="en-US"/>
        </w:rPr>
        <w:t xml:space="preserve"> Moreover, it is aimed at </w:t>
      </w:r>
      <w:r w:rsidRPr="000F5E2A">
        <w:rPr>
          <w:rFonts w:ascii="Times" w:hAnsi="Times" w:cs="Times"/>
          <w:sz w:val="20"/>
          <w:szCs w:val="20"/>
          <w:lang w:val="en-GB"/>
        </w:rPr>
        <w:t>understanding the ways in which innovation affects the health care sector and in particular the workforce, and how it can best be managed.</w:t>
      </w:r>
    </w:p>
    <w:p w14:paraId="08AFF298" w14:textId="69C641D7" w:rsidR="000F5E2A" w:rsidRDefault="000F5E2A" w:rsidP="000F5E2A">
      <w:pPr>
        <w:jc w:val="both"/>
        <w:rPr>
          <w:rFonts w:ascii="Times" w:hAnsi="Times" w:cs="Times"/>
          <w:sz w:val="20"/>
          <w:szCs w:val="20"/>
          <w:lang w:val="en-GB"/>
        </w:rPr>
      </w:pPr>
      <w:r w:rsidRPr="000F5E2A">
        <w:rPr>
          <w:rFonts w:ascii="Times" w:hAnsi="Times" w:cs="Times"/>
          <w:sz w:val="20"/>
          <w:szCs w:val="20"/>
          <w:lang w:val="en-GB"/>
        </w:rPr>
        <w:t xml:space="preserve">After this course, students will have an extensive knowledge of the role of the HRM function within healthcare organizations and will be able to match </w:t>
      </w:r>
      <w:proofErr w:type="gramStart"/>
      <w:r w:rsidRPr="000F5E2A">
        <w:rPr>
          <w:rFonts w:ascii="Times" w:hAnsi="Times" w:cs="Times"/>
          <w:sz w:val="20"/>
          <w:szCs w:val="20"/>
          <w:lang w:val="en-GB"/>
        </w:rPr>
        <w:t>a number of</w:t>
      </w:r>
      <w:proofErr w:type="gramEnd"/>
      <w:r w:rsidRPr="000F5E2A">
        <w:rPr>
          <w:rFonts w:ascii="Times" w:hAnsi="Times" w:cs="Times"/>
          <w:sz w:val="20"/>
          <w:szCs w:val="20"/>
          <w:lang w:val="en-GB"/>
        </w:rPr>
        <w:t xml:space="preserve"> HRM tools and procedures to the function’s (and organization’s) strategy. He/she will be able to assess the “maturity” of HRM functions and be aware of the coherence between its objectives and its actions. Moreover, students will simulate the use of tools aimed at managing competencies and driving performance, thereby acquiring practical ability in concrete and “real-life” situations. Students will be invited to develop HRM strategies and present them to an audience, thereby developing their communication and persuasion skills</w:t>
      </w:r>
      <w:r>
        <w:rPr>
          <w:rFonts w:ascii="Times" w:hAnsi="Times" w:cs="Times"/>
          <w:sz w:val="20"/>
          <w:szCs w:val="20"/>
          <w:lang w:val="en-GB"/>
        </w:rPr>
        <w:t>.</w:t>
      </w:r>
    </w:p>
    <w:p w14:paraId="47D7329A" w14:textId="77777777" w:rsidR="000F5E2A" w:rsidRPr="000F5E2A" w:rsidRDefault="000F5E2A" w:rsidP="000F5E2A">
      <w:pPr>
        <w:spacing w:before="240" w:after="120"/>
        <w:rPr>
          <w:rFonts w:ascii="Times" w:eastAsia="Times New Roman" w:hAnsi="Times" w:cs="Times New Roman"/>
          <w:b/>
          <w:i/>
          <w:caps/>
          <w:noProof/>
          <w:sz w:val="18"/>
          <w:szCs w:val="20"/>
          <w:lang w:val="en-US" w:eastAsia="it-IT"/>
        </w:rPr>
      </w:pPr>
      <w:r w:rsidRPr="000F5E2A">
        <w:rPr>
          <w:rFonts w:ascii="Times" w:eastAsia="Times New Roman" w:hAnsi="Times" w:cs="Times New Roman"/>
          <w:b/>
          <w:i/>
          <w:caps/>
          <w:noProof/>
          <w:sz w:val="18"/>
          <w:szCs w:val="20"/>
          <w:lang w:val="en-US" w:eastAsia="it-IT"/>
        </w:rPr>
        <w:t>COURSE CONTENT</w:t>
      </w:r>
    </w:p>
    <w:p w14:paraId="1199E21E" w14:textId="77777777" w:rsidR="000F5E2A" w:rsidRPr="000F5E2A" w:rsidRDefault="000F5E2A" w:rsidP="000F5E2A">
      <w:pPr>
        <w:spacing w:after="120"/>
        <w:jc w:val="both"/>
        <w:rPr>
          <w:rFonts w:ascii="Times" w:hAnsi="Times" w:cs="Times"/>
          <w:sz w:val="20"/>
          <w:szCs w:val="20"/>
          <w:lang w:val="en-GB"/>
        </w:rPr>
      </w:pPr>
      <w:r w:rsidRPr="000F5E2A">
        <w:rPr>
          <w:rFonts w:ascii="Times" w:hAnsi="Times" w:cs="Times"/>
          <w:sz w:val="20"/>
          <w:szCs w:val="20"/>
          <w:lang w:val="en-GB"/>
        </w:rPr>
        <w:t>The course is structured into two parts:</w:t>
      </w:r>
    </w:p>
    <w:p w14:paraId="5784410F" w14:textId="77777777" w:rsidR="000F5E2A" w:rsidRPr="000F5E2A" w:rsidRDefault="000F5E2A" w:rsidP="000F5E2A">
      <w:pPr>
        <w:spacing w:after="120"/>
        <w:jc w:val="both"/>
        <w:rPr>
          <w:rFonts w:ascii="Times" w:hAnsi="Times" w:cs="Times"/>
          <w:sz w:val="20"/>
          <w:szCs w:val="20"/>
          <w:lang w:val="en-US"/>
        </w:rPr>
      </w:pPr>
      <w:r w:rsidRPr="000F5E2A">
        <w:rPr>
          <w:rFonts w:ascii="Times" w:hAnsi="Times" w:cs="Times"/>
          <w:smallCaps/>
          <w:sz w:val="18"/>
          <w:szCs w:val="20"/>
          <w:lang w:val="en-GB"/>
        </w:rPr>
        <w:t>Part I</w:t>
      </w:r>
      <w:r w:rsidRPr="000F5E2A">
        <w:rPr>
          <w:rFonts w:ascii="Times" w:hAnsi="Times" w:cs="Times"/>
          <w:sz w:val="20"/>
          <w:szCs w:val="20"/>
          <w:lang w:val="en-GB"/>
        </w:rPr>
        <w:t xml:space="preserve"> (prof. A. Cicchetti):  </w:t>
      </w:r>
      <w:r w:rsidRPr="000F5E2A">
        <w:rPr>
          <w:rFonts w:ascii="Times" w:hAnsi="Times" w:cs="Times"/>
          <w:sz w:val="20"/>
          <w:szCs w:val="20"/>
          <w:lang w:val="en-US"/>
        </w:rPr>
        <w:t>Introduction, Course Overview</w:t>
      </w:r>
      <w:r w:rsidRPr="000F5E2A">
        <w:rPr>
          <w:rFonts w:ascii="Times" w:hAnsi="Times" w:cs="Times"/>
          <w:sz w:val="20"/>
          <w:szCs w:val="20"/>
          <w:lang w:val="en-GB"/>
        </w:rPr>
        <w:t xml:space="preserve">; </w:t>
      </w:r>
      <w:r w:rsidRPr="000F5E2A">
        <w:rPr>
          <w:rFonts w:ascii="Times" w:hAnsi="Times" w:cs="Times"/>
          <w:sz w:val="20"/>
          <w:szCs w:val="20"/>
          <w:lang w:val="en-US"/>
        </w:rPr>
        <w:t>From strategy to people</w:t>
      </w:r>
      <w:r w:rsidRPr="000F5E2A">
        <w:rPr>
          <w:rFonts w:ascii="Times" w:hAnsi="Times" w:cs="Times"/>
          <w:sz w:val="20"/>
          <w:szCs w:val="20"/>
          <w:lang w:val="en-GB"/>
        </w:rPr>
        <w:t xml:space="preserve">; </w:t>
      </w:r>
      <w:r w:rsidRPr="000F5E2A">
        <w:rPr>
          <w:rFonts w:ascii="Times" w:hAnsi="Times" w:cs="Times"/>
          <w:sz w:val="20"/>
          <w:szCs w:val="20"/>
          <w:lang w:val="en-US"/>
        </w:rPr>
        <w:t>Medical management and clinical leadership; Assessing jobs, persons and performance</w:t>
      </w:r>
      <w:r w:rsidRPr="000F5E2A">
        <w:rPr>
          <w:rFonts w:ascii="Times" w:hAnsi="Times" w:cs="Times"/>
          <w:sz w:val="20"/>
          <w:szCs w:val="20"/>
          <w:lang w:val="en-GB"/>
        </w:rPr>
        <w:t xml:space="preserve">; </w:t>
      </w:r>
      <w:r w:rsidRPr="000F5E2A">
        <w:rPr>
          <w:rFonts w:ascii="Times" w:hAnsi="Times" w:cs="Times"/>
          <w:sz w:val="20"/>
          <w:szCs w:val="20"/>
          <w:lang w:val="en-US"/>
        </w:rPr>
        <w:t>Qualitative and quantitative methods</w:t>
      </w:r>
      <w:r w:rsidRPr="000F5E2A">
        <w:rPr>
          <w:rFonts w:ascii="Times" w:hAnsi="Times" w:cs="Times"/>
          <w:sz w:val="20"/>
          <w:szCs w:val="20"/>
          <w:lang w:val="en-GB"/>
        </w:rPr>
        <w:t xml:space="preserve">; </w:t>
      </w:r>
      <w:r w:rsidRPr="000F5E2A">
        <w:rPr>
          <w:rFonts w:ascii="Times" w:hAnsi="Times" w:cs="Times"/>
          <w:sz w:val="20"/>
          <w:szCs w:val="20"/>
          <w:lang w:val="en-US"/>
        </w:rPr>
        <w:t>Pay for performance in medicine</w:t>
      </w:r>
      <w:r w:rsidRPr="000F5E2A">
        <w:rPr>
          <w:rFonts w:ascii="Times" w:hAnsi="Times" w:cs="Times"/>
          <w:sz w:val="20"/>
          <w:szCs w:val="20"/>
          <w:lang w:val="en-GB"/>
        </w:rPr>
        <w:t xml:space="preserve">; </w:t>
      </w:r>
      <w:r w:rsidRPr="000F5E2A">
        <w:rPr>
          <w:rFonts w:ascii="Times" w:hAnsi="Times" w:cs="Times"/>
          <w:sz w:val="20"/>
          <w:szCs w:val="20"/>
          <w:lang w:val="en-US"/>
        </w:rPr>
        <w:t>What is a “competence model</w:t>
      </w:r>
      <w:proofErr w:type="gramStart"/>
      <w:r w:rsidRPr="000F5E2A">
        <w:rPr>
          <w:rFonts w:ascii="Times" w:hAnsi="Times" w:cs="Times"/>
          <w:sz w:val="20"/>
          <w:szCs w:val="20"/>
          <w:lang w:val="en-US"/>
        </w:rPr>
        <w:t>”?</w:t>
      </w:r>
      <w:r w:rsidRPr="000F5E2A">
        <w:rPr>
          <w:rFonts w:ascii="Times" w:hAnsi="Times" w:cs="Times"/>
          <w:sz w:val="20"/>
          <w:szCs w:val="20"/>
          <w:lang w:val="en-GB"/>
        </w:rPr>
        <w:t>;</w:t>
      </w:r>
      <w:proofErr w:type="gramEnd"/>
      <w:r w:rsidRPr="000F5E2A">
        <w:rPr>
          <w:rFonts w:ascii="Times" w:hAnsi="Times" w:cs="Times"/>
          <w:sz w:val="20"/>
          <w:szCs w:val="20"/>
          <w:lang w:val="en-GB"/>
        </w:rPr>
        <w:t xml:space="preserve"> </w:t>
      </w:r>
      <w:r w:rsidRPr="000F5E2A">
        <w:rPr>
          <w:rFonts w:ascii="Times" w:hAnsi="Times" w:cs="Times"/>
          <w:sz w:val="20"/>
          <w:szCs w:val="20"/>
          <w:lang w:val="en-US"/>
        </w:rPr>
        <w:t>From job families to professional roles</w:t>
      </w:r>
      <w:r w:rsidRPr="000F5E2A">
        <w:rPr>
          <w:rFonts w:ascii="Times" w:hAnsi="Times" w:cs="Times"/>
          <w:sz w:val="20"/>
          <w:szCs w:val="20"/>
          <w:lang w:val="en-GB"/>
        </w:rPr>
        <w:t xml:space="preserve">; </w:t>
      </w:r>
      <w:r w:rsidRPr="000F5E2A">
        <w:rPr>
          <w:rFonts w:ascii="Times" w:hAnsi="Times" w:cs="Times"/>
          <w:sz w:val="20"/>
          <w:szCs w:val="20"/>
          <w:lang w:val="en-US"/>
        </w:rPr>
        <w:t xml:space="preserve">Final presentations and closing remarks </w:t>
      </w:r>
    </w:p>
    <w:p w14:paraId="07C0C414" w14:textId="77777777" w:rsidR="000F5E2A" w:rsidRPr="000F5E2A" w:rsidRDefault="000F5E2A" w:rsidP="000F5E2A">
      <w:pPr>
        <w:spacing w:after="120"/>
        <w:jc w:val="both"/>
        <w:rPr>
          <w:rFonts w:ascii="Times" w:hAnsi="Times" w:cs="Times"/>
          <w:sz w:val="20"/>
          <w:szCs w:val="20"/>
          <w:lang w:val="en-GB"/>
        </w:rPr>
      </w:pPr>
      <w:r w:rsidRPr="000F5E2A">
        <w:rPr>
          <w:rFonts w:ascii="Times" w:hAnsi="Times" w:cs="Times"/>
          <w:smallCaps/>
          <w:sz w:val="18"/>
          <w:szCs w:val="20"/>
          <w:lang w:val="en-US"/>
        </w:rPr>
        <w:t>Part II</w:t>
      </w:r>
      <w:r w:rsidRPr="000F5E2A">
        <w:rPr>
          <w:rFonts w:ascii="Times" w:hAnsi="Times" w:cs="Times"/>
          <w:sz w:val="20"/>
          <w:szCs w:val="20"/>
          <w:lang w:val="en-US"/>
        </w:rPr>
        <w:t xml:space="preserve"> (prof. Magdalene Rosenmoeller)</w:t>
      </w:r>
      <w:r w:rsidRPr="000F5E2A">
        <w:rPr>
          <w:rFonts w:ascii="Times" w:hAnsi="Times" w:cs="Times"/>
          <w:sz w:val="20"/>
          <w:szCs w:val="20"/>
          <w:lang w:val="en-GB"/>
        </w:rPr>
        <w:t xml:space="preserve">: </w:t>
      </w:r>
      <w:r w:rsidRPr="000F5E2A">
        <w:rPr>
          <w:rFonts w:ascii="Times" w:hAnsi="Times" w:cs="Times"/>
          <w:bCs/>
          <w:sz w:val="20"/>
          <w:szCs w:val="20"/>
          <w:lang w:val="en-US"/>
        </w:rPr>
        <w:t>A complex sector and complex care organizations; The Health Sector and the (Changing) Role of Professionals</w:t>
      </w:r>
      <w:r w:rsidRPr="000F5E2A">
        <w:rPr>
          <w:rFonts w:ascii="Times" w:hAnsi="Times" w:cs="Times"/>
          <w:sz w:val="20"/>
          <w:szCs w:val="20"/>
          <w:lang w:val="en-GB"/>
        </w:rPr>
        <w:t xml:space="preserve">; </w:t>
      </w:r>
      <w:r w:rsidRPr="000F5E2A">
        <w:rPr>
          <w:rFonts w:ascii="Times" w:hAnsi="Times" w:cs="Times"/>
          <w:bCs/>
          <w:sz w:val="20"/>
          <w:szCs w:val="20"/>
          <w:lang w:val="en-US"/>
        </w:rPr>
        <w:t>HHRR Policy: Needs, Strategy and Planning</w:t>
      </w:r>
      <w:r w:rsidRPr="000F5E2A">
        <w:rPr>
          <w:rFonts w:ascii="Times" w:hAnsi="Times" w:cs="Times"/>
          <w:sz w:val="20"/>
          <w:szCs w:val="20"/>
          <w:lang w:val="en-GB"/>
        </w:rPr>
        <w:t xml:space="preserve">; </w:t>
      </w:r>
      <w:r w:rsidRPr="000F5E2A">
        <w:rPr>
          <w:rFonts w:ascii="Times" w:hAnsi="Times" w:cs="Times"/>
          <w:bCs/>
          <w:sz w:val="20"/>
          <w:szCs w:val="20"/>
          <w:lang w:val="en-US"/>
        </w:rPr>
        <w:t>The European Context for Health Professionals</w:t>
      </w:r>
      <w:r w:rsidRPr="000F5E2A">
        <w:rPr>
          <w:rFonts w:ascii="Times" w:hAnsi="Times" w:cs="Times"/>
          <w:sz w:val="20"/>
          <w:szCs w:val="20"/>
          <w:lang w:val="en-GB"/>
        </w:rPr>
        <w:t xml:space="preserve">; </w:t>
      </w:r>
      <w:r w:rsidRPr="000F5E2A">
        <w:rPr>
          <w:rFonts w:ascii="Times" w:hAnsi="Times" w:cs="Times"/>
          <w:bCs/>
          <w:sz w:val="20"/>
          <w:szCs w:val="20"/>
          <w:lang w:val="en-US"/>
        </w:rPr>
        <w:t>Knowledge Management</w:t>
      </w:r>
      <w:r w:rsidRPr="000F5E2A">
        <w:rPr>
          <w:rFonts w:ascii="Times" w:hAnsi="Times" w:cs="Times"/>
          <w:sz w:val="20"/>
          <w:szCs w:val="20"/>
          <w:lang w:val="en-GB"/>
        </w:rPr>
        <w:t xml:space="preserve">; </w:t>
      </w:r>
      <w:r w:rsidRPr="000F5E2A">
        <w:rPr>
          <w:rFonts w:ascii="Times" w:hAnsi="Times" w:cs="Times"/>
          <w:bCs/>
          <w:color w:val="000000"/>
          <w:sz w:val="20"/>
          <w:szCs w:val="20"/>
          <w:lang w:val="en-US"/>
        </w:rPr>
        <w:t>Continuous Education / Role Professional Journals</w:t>
      </w:r>
      <w:r w:rsidRPr="000F5E2A">
        <w:rPr>
          <w:rFonts w:ascii="Times" w:hAnsi="Times" w:cs="Times"/>
          <w:sz w:val="20"/>
          <w:szCs w:val="20"/>
          <w:lang w:val="en-GB"/>
        </w:rPr>
        <w:t xml:space="preserve">; </w:t>
      </w:r>
      <w:r w:rsidRPr="000F5E2A">
        <w:rPr>
          <w:rFonts w:ascii="Times" w:hAnsi="Times" w:cs="Times"/>
          <w:bCs/>
          <w:sz w:val="20"/>
          <w:szCs w:val="20"/>
          <w:lang w:val="en-US"/>
        </w:rPr>
        <w:t>Realizing the Technology Revolution in Health Care</w:t>
      </w:r>
      <w:r w:rsidRPr="000F5E2A">
        <w:rPr>
          <w:rFonts w:ascii="Times" w:hAnsi="Times" w:cs="Times"/>
          <w:sz w:val="20"/>
          <w:szCs w:val="20"/>
          <w:lang w:val="en-GB"/>
        </w:rPr>
        <w:t xml:space="preserve">; </w:t>
      </w:r>
      <w:r w:rsidRPr="000F5E2A">
        <w:rPr>
          <w:rFonts w:ascii="Times" w:hAnsi="Times" w:cs="Times"/>
          <w:bCs/>
          <w:color w:val="000000"/>
          <w:sz w:val="20"/>
          <w:szCs w:val="20"/>
          <w:lang w:val="en-US"/>
        </w:rPr>
        <w:t>IT Technologies: changing paradigm, changed skills set</w:t>
      </w:r>
      <w:r w:rsidRPr="000F5E2A">
        <w:rPr>
          <w:rFonts w:ascii="Times" w:hAnsi="Times" w:cs="Times"/>
          <w:sz w:val="20"/>
          <w:szCs w:val="20"/>
          <w:lang w:val="en-GB"/>
        </w:rPr>
        <w:t xml:space="preserve">; </w:t>
      </w:r>
      <w:r w:rsidRPr="000F5E2A">
        <w:rPr>
          <w:rFonts w:ascii="Times" w:hAnsi="Times" w:cs="Times"/>
          <w:bCs/>
          <w:color w:val="000000"/>
          <w:sz w:val="20"/>
          <w:szCs w:val="20"/>
          <w:lang w:val="en-US"/>
        </w:rPr>
        <w:t>Integrated Care: Implementation of Innovation</w:t>
      </w:r>
      <w:r w:rsidRPr="000F5E2A">
        <w:rPr>
          <w:rFonts w:ascii="Times" w:hAnsi="Times" w:cs="Times"/>
          <w:sz w:val="20"/>
          <w:szCs w:val="20"/>
          <w:lang w:val="en-GB"/>
        </w:rPr>
        <w:t xml:space="preserve">; </w:t>
      </w:r>
      <w:r w:rsidRPr="000F5E2A">
        <w:rPr>
          <w:rFonts w:ascii="Times" w:hAnsi="Times" w:cs="Times"/>
          <w:bCs/>
          <w:color w:val="000000"/>
          <w:sz w:val="20"/>
          <w:szCs w:val="20"/>
          <w:lang w:val="en-US"/>
        </w:rPr>
        <w:t>Integrated Care changing role for HHRR</w:t>
      </w:r>
      <w:r w:rsidRPr="000F5E2A">
        <w:rPr>
          <w:rFonts w:ascii="Times" w:hAnsi="Times" w:cs="Times"/>
          <w:sz w:val="20"/>
          <w:szCs w:val="20"/>
          <w:lang w:val="en-GB"/>
        </w:rPr>
        <w:t xml:space="preserve">; </w:t>
      </w:r>
      <w:r w:rsidRPr="000F5E2A">
        <w:rPr>
          <w:rFonts w:ascii="Times" w:hAnsi="Times" w:cs="Times"/>
          <w:bCs/>
          <w:color w:val="000000"/>
          <w:sz w:val="20"/>
          <w:szCs w:val="20"/>
          <w:lang w:val="en-US"/>
        </w:rPr>
        <w:t>Managing for Quality</w:t>
      </w:r>
      <w:r w:rsidRPr="000F5E2A">
        <w:rPr>
          <w:rFonts w:ascii="Times" w:hAnsi="Times" w:cs="Times"/>
          <w:sz w:val="20"/>
          <w:szCs w:val="20"/>
          <w:lang w:val="en-GB"/>
        </w:rPr>
        <w:t xml:space="preserve">; </w:t>
      </w:r>
      <w:r w:rsidRPr="000F5E2A">
        <w:rPr>
          <w:rFonts w:ascii="Times" w:hAnsi="Times" w:cs="Times"/>
          <w:bCs/>
          <w:color w:val="000000"/>
          <w:sz w:val="20"/>
          <w:szCs w:val="20"/>
          <w:lang w:val="en-US"/>
        </w:rPr>
        <w:t>Commit to Excellence / Employee Satisfaction</w:t>
      </w:r>
      <w:r w:rsidRPr="000F5E2A">
        <w:rPr>
          <w:rFonts w:ascii="Times" w:hAnsi="Times" w:cs="Times"/>
          <w:sz w:val="20"/>
          <w:szCs w:val="20"/>
          <w:lang w:val="en-GB"/>
        </w:rPr>
        <w:t>;</w:t>
      </w:r>
      <w:r w:rsidRPr="000F5E2A">
        <w:rPr>
          <w:rFonts w:ascii="Times" w:hAnsi="Times" w:cs="Times"/>
          <w:bCs/>
          <w:color w:val="000000"/>
          <w:sz w:val="20"/>
          <w:szCs w:val="20"/>
          <w:lang w:val="en-US"/>
        </w:rPr>
        <w:t>The HHRR Managers Tasks</w:t>
      </w:r>
      <w:r w:rsidRPr="000F5E2A">
        <w:rPr>
          <w:rFonts w:ascii="Times" w:hAnsi="Times" w:cs="Times"/>
          <w:sz w:val="20"/>
          <w:szCs w:val="20"/>
          <w:lang w:val="en-GB"/>
        </w:rPr>
        <w:t xml:space="preserve">; </w:t>
      </w:r>
      <w:r w:rsidRPr="000F5E2A">
        <w:rPr>
          <w:rFonts w:ascii="Times" w:hAnsi="Times" w:cs="Times"/>
          <w:bCs/>
          <w:color w:val="000000"/>
          <w:sz w:val="20"/>
          <w:szCs w:val="20"/>
          <w:lang w:val="en-US"/>
        </w:rPr>
        <w:t>Career Development – Professional Growth</w:t>
      </w:r>
      <w:r w:rsidRPr="000F5E2A">
        <w:rPr>
          <w:rFonts w:ascii="Times" w:hAnsi="Times" w:cs="Times"/>
          <w:sz w:val="20"/>
          <w:szCs w:val="20"/>
          <w:lang w:val="en-GB"/>
        </w:rPr>
        <w:t xml:space="preserve">; </w:t>
      </w:r>
      <w:r w:rsidRPr="000F5E2A">
        <w:rPr>
          <w:rFonts w:ascii="Times" w:hAnsi="Times" w:cs="Times"/>
          <w:bCs/>
          <w:color w:val="000000"/>
          <w:sz w:val="20"/>
          <w:szCs w:val="20"/>
          <w:lang w:val="en-US"/>
        </w:rPr>
        <w:t>Leadership in Innovation and Creativity</w:t>
      </w:r>
      <w:r w:rsidRPr="000F5E2A">
        <w:rPr>
          <w:rFonts w:ascii="Times" w:hAnsi="Times" w:cs="Times"/>
          <w:sz w:val="20"/>
          <w:szCs w:val="20"/>
          <w:lang w:val="en-GB"/>
        </w:rPr>
        <w:t xml:space="preserve">; </w:t>
      </w:r>
      <w:r w:rsidRPr="000F5E2A">
        <w:rPr>
          <w:rFonts w:ascii="Times" w:hAnsi="Times" w:cs="Times"/>
          <w:bCs/>
          <w:color w:val="000000"/>
          <w:sz w:val="20"/>
          <w:szCs w:val="20"/>
          <w:lang w:val="en-US"/>
        </w:rPr>
        <w:lastRenderedPageBreak/>
        <w:t>Bases of Leadership / Clinical Leadership</w:t>
      </w:r>
      <w:r w:rsidRPr="000F5E2A">
        <w:rPr>
          <w:rFonts w:ascii="Times" w:hAnsi="Times" w:cs="Times"/>
          <w:sz w:val="20"/>
          <w:szCs w:val="20"/>
          <w:lang w:val="en-GB"/>
        </w:rPr>
        <w:t xml:space="preserve">; </w:t>
      </w:r>
      <w:r w:rsidRPr="000F5E2A">
        <w:rPr>
          <w:rFonts w:ascii="Times" w:hAnsi="Times" w:cs="Times"/>
          <w:bCs/>
          <w:color w:val="000000"/>
          <w:sz w:val="20"/>
          <w:szCs w:val="20"/>
          <w:lang w:val="en-US"/>
        </w:rPr>
        <w:t>Creative Teams / Design Thinking</w:t>
      </w:r>
      <w:r w:rsidRPr="000F5E2A">
        <w:rPr>
          <w:rFonts w:ascii="Times" w:hAnsi="Times" w:cs="Times"/>
          <w:sz w:val="20"/>
          <w:szCs w:val="20"/>
          <w:lang w:val="en-GB"/>
        </w:rPr>
        <w:t xml:space="preserve">; </w:t>
      </w:r>
      <w:r w:rsidRPr="000F5E2A">
        <w:rPr>
          <w:rFonts w:ascii="Times" w:hAnsi="Times" w:cs="Times"/>
          <w:bCs/>
          <w:color w:val="000000"/>
          <w:sz w:val="20"/>
          <w:szCs w:val="20"/>
          <w:lang w:val="en-US"/>
        </w:rPr>
        <w:t>Report Presentations. Conclusions Wrap Up</w:t>
      </w:r>
    </w:p>
    <w:p w14:paraId="30EE4233" w14:textId="77777777" w:rsidR="000F5E2A" w:rsidRPr="000F5E2A" w:rsidRDefault="000F5E2A" w:rsidP="000F5E2A">
      <w:pPr>
        <w:spacing w:before="240" w:after="120"/>
        <w:rPr>
          <w:rFonts w:ascii="Times" w:eastAsia="Times New Roman" w:hAnsi="Times" w:cs="Times New Roman"/>
          <w:b/>
          <w:i/>
          <w:caps/>
          <w:noProof/>
          <w:sz w:val="18"/>
          <w:szCs w:val="20"/>
          <w:lang w:val="en-US" w:eastAsia="it-IT"/>
        </w:rPr>
      </w:pPr>
      <w:r w:rsidRPr="000F5E2A">
        <w:rPr>
          <w:rFonts w:ascii="Times" w:eastAsia="Times New Roman" w:hAnsi="Times" w:cs="Times New Roman"/>
          <w:b/>
          <w:i/>
          <w:caps/>
          <w:noProof/>
          <w:sz w:val="18"/>
          <w:szCs w:val="20"/>
          <w:lang w:val="en-US" w:eastAsia="it-IT"/>
        </w:rPr>
        <w:t>READING LIST</w:t>
      </w:r>
    </w:p>
    <w:p w14:paraId="258FAC7B" w14:textId="77777777" w:rsidR="00D37EA0" w:rsidRPr="00C2758E" w:rsidRDefault="00D37EA0" w:rsidP="00D37EA0">
      <w:pPr>
        <w:pStyle w:val="Testo1"/>
        <w:spacing w:before="0"/>
        <w:rPr>
          <w:lang w:val="en-US"/>
        </w:rPr>
      </w:pPr>
      <w:r w:rsidRPr="00C2758E">
        <w:rPr>
          <w:lang w:val="en-US"/>
        </w:rPr>
        <w:t>Crawshaw J, Budhwar P, Davis A. Human Resource Management Strategic and International Perspectives, Sage, London (2019) [Chapters 1, 2, 7, 9, 10, 11, 14]</w:t>
      </w:r>
    </w:p>
    <w:p w14:paraId="13D8AC40" w14:textId="77777777" w:rsidR="00D37EA0" w:rsidRPr="00C2758E" w:rsidRDefault="00D37EA0" w:rsidP="00D37EA0">
      <w:pPr>
        <w:pStyle w:val="Testo1"/>
        <w:spacing w:before="0"/>
        <w:rPr>
          <w:lang w:val="en-US"/>
        </w:rPr>
      </w:pPr>
      <w:r w:rsidRPr="00C2758E">
        <w:rPr>
          <w:lang w:val="en-US"/>
        </w:rPr>
        <w:t>“Characteristics &amp; Qualities of a Personnel Manager”, Bob Kelly, Demand Media</w:t>
      </w:r>
    </w:p>
    <w:p w14:paraId="7A54C440" w14:textId="77777777" w:rsidR="00D37EA0" w:rsidRPr="00C2758E" w:rsidRDefault="00D37EA0" w:rsidP="00D37EA0">
      <w:pPr>
        <w:pStyle w:val="Testo1"/>
        <w:spacing w:before="0"/>
        <w:rPr>
          <w:lang w:val="en-US"/>
        </w:rPr>
      </w:pPr>
      <w:r w:rsidRPr="00C2758E">
        <w:rPr>
          <w:lang w:val="en-US"/>
        </w:rPr>
        <w:t>“The Role of HR Manager in Health Care”, Alejandro Russell, Demand Media</w:t>
      </w:r>
    </w:p>
    <w:p w14:paraId="20F9C383" w14:textId="77777777" w:rsidR="00D37EA0" w:rsidRPr="00C2758E" w:rsidRDefault="00D37EA0" w:rsidP="00D37EA0">
      <w:pPr>
        <w:pStyle w:val="Testo1"/>
        <w:spacing w:before="0"/>
        <w:rPr>
          <w:lang w:val="en-US"/>
        </w:rPr>
      </w:pPr>
      <w:r w:rsidRPr="00C2758E">
        <w:rPr>
          <w:lang w:val="en-US"/>
        </w:rPr>
        <w:t>Case Study HBS: “Development and Promotion at North Atlantic Hospital”</w:t>
      </w:r>
    </w:p>
    <w:p w14:paraId="28CE4099" w14:textId="77777777" w:rsidR="00D37EA0" w:rsidRPr="00C2758E" w:rsidRDefault="00D37EA0" w:rsidP="00D37EA0">
      <w:pPr>
        <w:pStyle w:val="Testo1"/>
        <w:spacing w:before="0"/>
      </w:pPr>
      <w:r w:rsidRPr="00C2758E">
        <w:rPr>
          <w:lang w:val="en-US"/>
        </w:rPr>
        <w:t xml:space="preserve">Doctors and managers: a problem without a solution? </w:t>
      </w:r>
      <w:r w:rsidRPr="00C2758E">
        <w:t>(Bmj n. 326, 2003)</w:t>
      </w:r>
    </w:p>
    <w:p w14:paraId="0B90F66A" w14:textId="77777777" w:rsidR="00D37EA0" w:rsidRPr="00C2758E" w:rsidRDefault="00D37EA0" w:rsidP="00D37EA0">
      <w:pPr>
        <w:pStyle w:val="Testo1"/>
        <w:spacing w:before="0"/>
        <w:rPr>
          <w:lang w:val="en-US"/>
        </w:rPr>
      </w:pPr>
      <w:r w:rsidRPr="00C2758E">
        <w:rPr>
          <w:lang w:val="en-US"/>
        </w:rPr>
        <w:t>What doctors and managers can learn from each other? A lot (Bmj n. 326, 2003)</w:t>
      </w:r>
    </w:p>
    <w:p w14:paraId="534A0943" w14:textId="77777777" w:rsidR="00D37EA0" w:rsidRPr="00C2758E" w:rsidRDefault="00D37EA0" w:rsidP="00D37EA0">
      <w:pPr>
        <w:pStyle w:val="Testo1"/>
        <w:spacing w:before="0"/>
        <w:rPr>
          <w:lang w:val="en-US"/>
        </w:rPr>
      </w:pPr>
      <w:r w:rsidRPr="00C2758E">
        <w:rPr>
          <w:lang w:val="en-US"/>
        </w:rPr>
        <w:t>Case study HBS: Hospital Clínic de Barcelona</w:t>
      </w:r>
    </w:p>
    <w:p w14:paraId="5A52377D" w14:textId="77777777" w:rsidR="00D37EA0" w:rsidRPr="00C2758E" w:rsidRDefault="00D37EA0" w:rsidP="00D37EA0">
      <w:pPr>
        <w:pStyle w:val="Testo1"/>
        <w:spacing w:before="0"/>
        <w:rPr>
          <w:lang w:val="en-US"/>
        </w:rPr>
      </w:pPr>
      <w:r w:rsidRPr="00C2758E">
        <w:rPr>
          <w:lang w:val="en-US"/>
        </w:rPr>
        <w:t>Case Study HBS: “Performance Management at Vitality Health Enterprises, Inc”</w:t>
      </w:r>
    </w:p>
    <w:p w14:paraId="1F27A2AF" w14:textId="77777777" w:rsidR="00D37EA0" w:rsidRPr="00C2758E" w:rsidRDefault="00D37EA0" w:rsidP="00D37EA0">
      <w:pPr>
        <w:pStyle w:val="Testo1"/>
        <w:spacing w:before="0"/>
        <w:rPr>
          <w:lang w:val="en-US"/>
        </w:rPr>
      </w:pPr>
      <w:r w:rsidRPr="00C2758E">
        <w:rPr>
          <w:lang w:val="en-US"/>
        </w:rPr>
        <w:t>“Successes and Failures of Pay for Performance in the United Kingdom”, NEJM 2014.</w:t>
      </w:r>
    </w:p>
    <w:p w14:paraId="4E98D91B" w14:textId="77777777" w:rsidR="00D37EA0" w:rsidRPr="00C2758E" w:rsidRDefault="00D37EA0" w:rsidP="00D37EA0">
      <w:pPr>
        <w:pStyle w:val="Testo1"/>
        <w:spacing w:before="0"/>
      </w:pPr>
      <w:r w:rsidRPr="00C2758E">
        <w:t>“Allied Health Competency Model”</w:t>
      </w:r>
    </w:p>
    <w:p w14:paraId="58CDD03A" w14:textId="77777777" w:rsidR="00D37EA0" w:rsidRPr="00D37EA0" w:rsidRDefault="00D37EA0" w:rsidP="00D37EA0">
      <w:pPr>
        <w:pStyle w:val="Testo1"/>
        <w:spacing w:before="0"/>
        <w:rPr>
          <w:lang w:val="en-US"/>
        </w:rPr>
      </w:pPr>
      <w:r w:rsidRPr="00C2758E">
        <w:rPr>
          <w:lang w:val="en-US"/>
        </w:rPr>
        <w:t xml:space="preserve">“Job families and other </w:t>
      </w:r>
      <w:r w:rsidRPr="00D37EA0">
        <w:rPr>
          <w:lang w:val="en-US"/>
        </w:rPr>
        <w:t>taxonomies”</w:t>
      </w:r>
    </w:p>
    <w:p w14:paraId="6ABA1EBA" w14:textId="77777777" w:rsidR="00D37EA0" w:rsidRPr="00D37EA0" w:rsidRDefault="00D37EA0" w:rsidP="00D37EA0">
      <w:pPr>
        <w:pStyle w:val="Testo1"/>
        <w:spacing w:before="0"/>
        <w:rPr>
          <w:lang w:val="en-US"/>
        </w:rPr>
      </w:pPr>
      <w:r w:rsidRPr="00D37EA0">
        <w:rPr>
          <w:szCs w:val="22"/>
          <w:lang w:val="en-US"/>
        </w:rPr>
        <w:t>Four Habits of High-Value HealthCare Organizations, R. Bohmer, NEJM, 2011</w:t>
      </w:r>
    </w:p>
    <w:p w14:paraId="0139C7BA" w14:textId="77777777" w:rsidR="00D37EA0" w:rsidRPr="00D37EA0" w:rsidRDefault="00D37EA0" w:rsidP="00D37EA0">
      <w:pPr>
        <w:pStyle w:val="Testo1"/>
        <w:spacing w:before="0"/>
        <w:rPr>
          <w:lang w:val="en-US"/>
        </w:rPr>
      </w:pPr>
      <w:r w:rsidRPr="00D37EA0">
        <w:rPr>
          <w:szCs w:val="22"/>
          <w:lang w:val="en-US"/>
        </w:rPr>
        <w:t>Assessing future health workforce needs. Gilles Dussault et al. Policy Brief, 2010</w:t>
      </w:r>
    </w:p>
    <w:p w14:paraId="20AFCB3E" w14:textId="77777777" w:rsidR="00D37EA0" w:rsidRPr="00D37EA0" w:rsidRDefault="00D37EA0" w:rsidP="00D37EA0">
      <w:pPr>
        <w:pStyle w:val="Testo1"/>
        <w:spacing w:before="0"/>
        <w:rPr>
          <w:lang w:val="en-US"/>
        </w:rPr>
      </w:pPr>
      <w:r w:rsidRPr="00D37EA0">
        <w:rPr>
          <w:szCs w:val="22"/>
          <w:lang w:val="en-US"/>
        </w:rPr>
        <w:t>Action Plan for the EU Health Workforce, EC, SWD(2012) 93 final</w:t>
      </w:r>
    </w:p>
    <w:p w14:paraId="1314C47F" w14:textId="77777777" w:rsidR="00D37EA0" w:rsidRPr="00D37EA0" w:rsidRDefault="00D37EA0" w:rsidP="00D37EA0">
      <w:pPr>
        <w:pStyle w:val="Testo1"/>
        <w:spacing w:before="0"/>
        <w:rPr>
          <w:lang w:val="en-US"/>
        </w:rPr>
      </w:pPr>
      <w:r w:rsidRPr="00D37EA0">
        <w:rPr>
          <w:szCs w:val="22"/>
          <w:lang w:val="en-US"/>
        </w:rPr>
        <w:t>Perspective on the Professional Qualification Directive. Eurohealth, 17,4 2011</w:t>
      </w:r>
    </w:p>
    <w:p w14:paraId="1EC2F93E" w14:textId="77777777" w:rsidR="00D37EA0" w:rsidRPr="00D37EA0" w:rsidRDefault="00D37EA0" w:rsidP="00D37EA0">
      <w:pPr>
        <w:pStyle w:val="Testo1"/>
        <w:spacing w:before="0"/>
        <w:rPr>
          <w:lang w:val="en-US"/>
        </w:rPr>
      </w:pPr>
      <w:r w:rsidRPr="00D37EA0">
        <w:rPr>
          <w:szCs w:val="22"/>
          <w:lang w:val="en-US"/>
        </w:rPr>
        <w:t>HBS Intermountain Health Care (2013)</w:t>
      </w:r>
    </w:p>
    <w:p w14:paraId="38E08B17" w14:textId="77777777" w:rsidR="00D37EA0" w:rsidRPr="00D37EA0" w:rsidRDefault="00D37EA0" w:rsidP="00D37EA0">
      <w:pPr>
        <w:pStyle w:val="Testo1"/>
        <w:spacing w:before="0"/>
        <w:rPr>
          <w:szCs w:val="22"/>
          <w:lang w:val="en-US"/>
        </w:rPr>
      </w:pPr>
      <w:r w:rsidRPr="00D37EA0">
        <w:rPr>
          <w:szCs w:val="22"/>
          <w:lang w:val="en-US"/>
        </w:rPr>
        <w:t xml:space="preserve">IESE P1102 EN - </w:t>
      </w:r>
      <w:r w:rsidRPr="00D37EA0">
        <w:rPr>
          <w:bCs/>
          <w:iCs/>
          <w:szCs w:val="22"/>
          <w:lang w:val="en-US"/>
        </w:rPr>
        <w:t>TMC – Telemedicine Clinic</w:t>
      </w:r>
    </w:p>
    <w:p w14:paraId="1944BF19" w14:textId="77777777" w:rsidR="00D37EA0" w:rsidRPr="00D37EA0" w:rsidRDefault="00D37EA0" w:rsidP="00D37EA0">
      <w:pPr>
        <w:pStyle w:val="Testo1"/>
        <w:spacing w:before="0"/>
        <w:rPr>
          <w:lang w:val="en-US"/>
        </w:rPr>
      </w:pPr>
      <w:r w:rsidRPr="00D37EA0">
        <w:rPr>
          <w:szCs w:val="22"/>
          <w:lang w:val="en-US"/>
        </w:rPr>
        <w:t>IESE P1148E Innovating in the Basque Country. Moving to Chronic Care</w:t>
      </w:r>
    </w:p>
    <w:p w14:paraId="7D63D3AE" w14:textId="77777777" w:rsidR="00D37EA0" w:rsidRPr="00C2758E" w:rsidRDefault="00D37EA0" w:rsidP="00D37EA0">
      <w:pPr>
        <w:pStyle w:val="Testo1"/>
        <w:spacing w:before="0"/>
        <w:rPr>
          <w:lang w:val="en-US"/>
        </w:rPr>
      </w:pPr>
      <w:r w:rsidRPr="00D37EA0">
        <w:rPr>
          <w:szCs w:val="22"/>
          <w:lang w:val="en-US"/>
        </w:rPr>
        <w:t xml:space="preserve">Think integration, think workforce: Three steps </w:t>
      </w:r>
      <w:r w:rsidRPr="00C2758E">
        <w:rPr>
          <w:color w:val="000000"/>
          <w:szCs w:val="22"/>
          <w:lang w:val="en-US"/>
        </w:rPr>
        <w:t>to workforce integration, Centre for Workforce Intelligence, 2013</w:t>
      </w:r>
    </w:p>
    <w:p w14:paraId="79BCC3DA" w14:textId="77777777" w:rsidR="00D37EA0" w:rsidRPr="00C2758E" w:rsidRDefault="00D37EA0" w:rsidP="00D37EA0">
      <w:pPr>
        <w:pStyle w:val="Testo1"/>
        <w:spacing w:before="0"/>
        <w:rPr>
          <w:lang w:val="en-US"/>
        </w:rPr>
      </w:pPr>
      <w:r w:rsidRPr="00C2758E">
        <w:rPr>
          <w:bCs/>
          <w:iCs/>
          <w:color w:val="000000"/>
          <w:szCs w:val="22"/>
          <w:lang w:val="en-US"/>
        </w:rPr>
        <w:t>Why Hospitals don’t learn from Failures</w:t>
      </w:r>
      <w:r w:rsidRPr="00C2758E">
        <w:rPr>
          <w:color w:val="000000"/>
          <w:szCs w:val="22"/>
          <w:lang w:val="en-US"/>
        </w:rPr>
        <w:t>, ATucker et al Californian Rev.Management 2003</w:t>
      </w:r>
    </w:p>
    <w:p w14:paraId="59B275F5" w14:textId="77777777" w:rsidR="00D37EA0" w:rsidRPr="00C2758E" w:rsidRDefault="00D37EA0" w:rsidP="00D37EA0">
      <w:pPr>
        <w:pStyle w:val="Testo1"/>
        <w:spacing w:before="0"/>
        <w:rPr>
          <w:lang w:val="en-US"/>
        </w:rPr>
      </w:pPr>
      <w:r w:rsidRPr="00C2758E">
        <w:rPr>
          <w:color w:val="000000"/>
          <w:szCs w:val="22"/>
          <w:lang w:val="en-US"/>
        </w:rPr>
        <w:t>10 Free (Or Very Inexpensive) Ways To Engage Staff, Quint Studer</w:t>
      </w:r>
    </w:p>
    <w:p w14:paraId="2E642A45" w14:textId="77777777" w:rsidR="00D37EA0" w:rsidRPr="00C2758E" w:rsidRDefault="00D37EA0" w:rsidP="00D37EA0">
      <w:pPr>
        <w:pStyle w:val="Testo1"/>
        <w:spacing w:before="0"/>
        <w:rPr>
          <w:color w:val="000000"/>
          <w:szCs w:val="22"/>
          <w:lang w:val="en-US"/>
        </w:rPr>
      </w:pPr>
      <w:r w:rsidRPr="00C2758E">
        <w:rPr>
          <w:bCs/>
          <w:iCs/>
          <w:color w:val="000000"/>
          <w:szCs w:val="22"/>
          <w:lang w:val="en-US"/>
        </w:rPr>
        <w:t>Chapter 8 &amp; 9 Recruitment</w:t>
      </w:r>
      <w:r w:rsidRPr="00C2758E">
        <w:rPr>
          <w:color w:val="000000"/>
          <w:szCs w:val="22"/>
          <w:lang w:val="en-US"/>
        </w:rPr>
        <w:t>, Interviewing, and Selection Strategies / Maximizing Performance Management and Evaluation. JE Pynes - Human Resources Management for Health Care Organizations: A Strategic Approach. Jossey Bass 2012</w:t>
      </w:r>
    </w:p>
    <w:p w14:paraId="53B672FB" w14:textId="77777777" w:rsidR="00D37EA0" w:rsidRPr="00C2758E" w:rsidRDefault="00D37EA0" w:rsidP="00D37EA0">
      <w:pPr>
        <w:pStyle w:val="Testo1"/>
        <w:spacing w:before="0"/>
        <w:rPr>
          <w:lang w:val="en-US"/>
        </w:rPr>
      </w:pPr>
      <w:r w:rsidRPr="00C2758E">
        <w:rPr>
          <w:color w:val="000000"/>
          <w:szCs w:val="22"/>
          <w:lang w:val="en-US"/>
        </w:rPr>
        <w:t>Case Pina Bausch: Leadership as collective Genius (ESMT 412-0132-1)</w:t>
      </w:r>
    </w:p>
    <w:p w14:paraId="1965DFD4" w14:textId="77777777" w:rsidR="00D37EA0" w:rsidRPr="00C2758E" w:rsidRDefault="00D37EA0" w:rsidP="00D37EA0">
      <w:pPr>
        <w:pStyle w:val="Testo1"/>
        <w:spacing w:before="0"/>
        <w:rPr>
          <w:lang w:val="en-US"/>
        </w:rPr>
      </w:pPr>
      <w:r w:rsidRPr="00C2758E">
        <w:rPr>
          <w:bCs/>
          <w:color w:val="000000"/>
          <w:szCs w:val="22"/>
          <w:lang w:val="en-US"/>
        </w:rPr>
        <w:t>NEJM, Leading Clinicians and Clinicians Leading, R. Bohmer, 2013</w:t>
      </w:r>
    </w:p>
    <w:p w14:paraId="744876EB" w14:textId="77777777" w:rsidR="00D37EA0" w:rsidRPr="00C2758E" w:rsidRDefault="00D37EA0" w:rsidP="00D37EA0">
      <w:pPr>
        <w:pStyle w:val="Testo1"/>
        <w:spacing w:before="0"/>
        <w:rPr>
          <w:lang w:val="en-US"/>
        </w:rPr>
      </w:pPr>
      <w:r w:rsidRPr="00C2758E">
        <w:rPr>
          <w:color w:val="000000"/>
          <w:szCs w:val="22"/>
          <w:lang w:val="en-US"/>
        </w:rPr>
        <w:t>Leading Teams (MSH Managers Who Lead, 2008)</w:t>
      </w:r>
    </w:p>
    <w:p w14:paraId="78244D8B" w14:textId="77777777" w:rsidR="00D37EA0" w:rsidRPr="00C2758E" w:rsidRDefault="00D37EA0" w:rsidP="00D37EA0">
      <w:pPr>
        <w:pStyle w:val="Testo1"/>
        <w:spacing w:before="0"/>
        <w:rPr>
          <w:lang w:val="en-US"/>
        </w:rPr>
      </w:pPr>
      <w:r w:rsidRPr="00C2758E">
        <w:rPr>
          <w:lang w:val="en-US"/>
        </w:rPr>
        <w:t>Further articles, case studies and book chapters will be provided and shared through Blackboard.</w:t>
      </w:r>
    </w:p>
    <w:p w14:paraId="796DD44D" w14:textId="77777777" w:rsidR="00D37EA0" w:rsidRPr="00D37EA0" w:rsidRDefault="00D37EA0" w:rsidP="00D37EA0">
      <w:pPr>
        <w:spacing w:before="240" w:after="120" w:line="220" w:lineRule="exact"/>
        <w:rPr>
          <w:rFonts w:ascii="Times" w:eastAsia="Times New Roman" w:hAnsi="Times" w:cs="Times New Roman"/>
          <w:b/>
          <w:i/>
          <w:caps/>
          <w:noProof/>
          <w:sz w:val="18"/>
          <w:szCs w:val="20"/>
          <w:lang w:val="en-US" w:eastAsia="it-IT"/>
        </w:rPr>
      </w:pPr>
      <w:r w:rsidRPr="00D37EA0">
        <w:rPr>
          <w:rFonts w:ascii="Times" w:eastAsia="Times New Roman" w:hAnsi="Times" w:cs="Times New Roman"/>
          <w:b/>
          <w:i/>
          <w:caps/>
          <w:noProof/>
          <w:sz w:val="18"/>
          <w:szCs w:val="20"/>
          <w:lang w:val="en-US" w:eastAsia="it-IT"/>
        </w:rPr>
        <w:t>TEACHING METHOD</w:t>
      </w:r>
    </w:p>
    <w:p w14:paraId="6DB06F11" w14:textId="77777777" w:rsidR="00D37EA0" w:rsidRPr="00C2758E" w:rsidRDefault="00D37EA0" w:rsidP="00D37EA0">
      <w:pPr>
        <w:pStyle w:val="Testo2"/>
        <w:rPr>
          <w:lang w:val="en-GB"/>
        </w:rPr>
      </w:pPr>
      <w:r w:rsidRPr="00C2758E">
        <w:rPr>
          <w:lang w:val="en-GB"/>
        </w:rPr>
        <w:t xml:space="preserve">Short academic lectures are sided with case study discussions, interactive sessions and laboratories. Regarding case studies, students are asked to read assigned documents in advance, before lessons. Students are also asked to work in groups of 5-6 people and to prepare case discussions of about 30 minutes. </w:t>
      </w:r>
    </w:p>
    <w:p w14:paraId="75D8BF5A" w14:textId="6BDA633A" w:rsidR="000F5E2A" w:rsidRDefault="00D37EA0" w:rsidP="00D37EA0">
      <w:pPr>
        <w:pStyle w:val="Testo2"/>
        <w:rPr>
          <w:lang w:val="en-GB"/>
        </w:rPr>
      </w:pPr>
      <w:r w:rsidRPr="00C2758E">
        <w:rPr>
          <w:lang w:val="en-GB"/>
        </w:rPr>
        <w:t xml:space="preserve">Ten hours of the course are dedicated to a specific laboratory in which students, organized in groups (5-6 people), will have the chance to design job profiles under the guidance of the </w:t>
      </w:r>
      <w:r w:rsidRPr="00C2758E">
        <w:rPr>
          <w:lang w:val="en-GB"/>
        </w:rPr>
        <w:lastRenderedPageBreak/>
        <w:t>teacher. Groups are suggested to work during free time and will provide a formal power point presentation.</w:t>
      </w:r>
    </w:p>
    <w:p w14:paraId="6A9A8839" w14:textId="77777777" w:rsidR="00D37EA0" w:rsidRPr="00D37EA0" w:rsidRDefault="00D37EA0" w:rsidP="00D37EA0">
      <w:pPr>
        <w:spacing w:before="240" w:after="120" w:line="220" w:lineRule="exact"/>
        <w:rPr>
          <w:rFonts w:ascii="Times" w:eastAsia="Times New Roman" w:hAnsi="Times" w:cs="Times New Roman"/>
          <w:b/>
          <w:i/>
          <w:caps/>
          <w:noProof/>
          <w:sz w:val="18"/>
          <w:szCs w:val="20"/>
          <w:lang w:val="en-US" w:eastAsia="it-IT"/>
        </w:rPr>
      </w:pPr>
      <w:r w:rsidRPr="00D37EA0">
        <w:rPr>
          <w:rFonts w:ascii="Times" w:eastAsia="Times New Roman" w:hAnsi="Times" w:cs="Times New Roman"/>
          <w:b/>
          <w:i/>
          <w:caps/>
          <w:noProof/>
          <w:sz w:val="18"/>
          <w:szCs w:val="20"/>
          <w:lang w:val="en-US" w:eastAsia="it-IT"/>
        </w:rPr>
        <w:t>ASSESSMENT METHOD AND CRITERIA</w:t>
      </w:r>
    </w:p>
    <w:p w14:paraId="3DBA17EF" w14:textId="77777777" w:rsidR="00D37EA0" w:rsidRPr="00C2758E" w:rsidRDefault="00D37EA0" w:rsidP="00D37EA0">
      <w:pPr>
        <w:pStyle w:val="Testo2"/>
        <w:rPr>
          <w:lang w:val="en-GB"/>
        </w:rPr>
      </w:pPr>
      <w:r w:rsidRPr="00C2758E">
        <w:rPr>
          <w:lang w:val="en-GB"/>
        </w:rPr>
        <w:t>The evaluation of contents delivered during course takes place through a:</w:t>
      </w:r>
    </w:p>
    <w:p w14:paraId="2734F45B" w14:textId="02B861CB" w:rsidR="00D37EA0" w:rsidRPr="00C2758E" w:rsidRDefault="00D37EA0" w:rsidP="00D37EA0">
      <w:pPr>
        <w:pStyle w:val="Testo2"/>
        <w:rPr>
          <w:lang w:val="en-GB"/>
        </w:rPr>
      </w:pPr>
      <w:r>
        <w:rPr>
          <w:lang w:val="en-GB"/>
        </w:rPr>
        <w:t>–</w:t>
      </w:r>
      <w:r>
        <w:rPr>
          <w:lang w:val="en-GB"/>
        </w:rPr>
        <w:tab/>
      </w:r>
      <w:r w:rsidRPr="00C2758E">
        <w:rPr>
          <w:lang w:val="en-GB"/>
        </w:rPr>
        <w:t>Written test (multiple choice and open questions) - 30% of the total mark</w:t>
      </w:r>
    </w:p>
    <w:p w14:paraId="358F1A4E" w14:textId="023C2291" w:rsidR="00D37EA0" w:rsidRPr="00C2758E" w:rsidRDefault="00D37EA0" w:rsidP="00D37EA0">
      <w:pPr>
        <w:pStyle w:val="Testo2"/>
        <w:rPr>
          <w:lang w:val="en-GB"/>
        </w:rPr>
      </w:pPr>
      <w:r>
        <w:rPr>
          <w:lang w:val="en-GB"/>
        </w:rPr>
        <w:t>–</w:t>
      </w:r>
      <w:r>
        <w:rPr>
          <w:lang w:val="en-GB"/>
        </w:rPr>
        <w:tab/>
      </w:r>
      <w:r w:rsidRPr="00C2758E">
        <w:rPr>
          <w:lang w:val="en-GB"/>
        </w:rPr>
        <w:t>Assessment of group-work presentation (laboratory) - 20% of the total mark</w:t>
      </w:r>
    </w:p>
    <w:p w14:paraId="4DF0F49B" w14:textId="15CF2224" w:rsidR="00D37EA0" w:rsidRPr="00C2758E" w:rsidRDefault="00D37EA0" w:rsidP="00D37EA0">
      <w:pPr>
        <w:pStyle w:val="Testo2"/>
        <w:rPr>
          <w:lang w:val="en-GB"/>
        </w:rPr>
      </w:pPr>
      <w:r>
        <w:rPr>
          <w:lang w:val="en-GB"/>
        </w:rPr>
        <w:t>–</w:t>
      </w:r>
      <w:r>
        <w:rPr>
          <w:lang w:val="en-GB"/>
        </w:rPr>
        <w:tab/>
      </w:r>
      <w:r w:rsidRPr="00C2758E">
        <w:rPr>
          <w:lang w:val="en-GB"/>
        </w:rPr>
        <w:t>Group work (prof. Rosenmoeller) - 30% of the total mark</w:t>
      </w:r>
    </w:p>
    <w:p w14:paraId="2FE4C915" w14:textId="0AB59B1D" w:rsidR="00D37EA0" w:rsidRPr="00C2758E" w:rsidRDefault="00D37EA0" w:rsidP="00D37EA0">
      <w:pPr>
        <w:pStyle w:val="Testo2"/>
        <w:rPr>
          <w:lang w:val="en-GB"/>
        </w:rPr>
      </w:pPr>
      <w:r>
        <w:rPr>
          <w:lang w:val="en-GB"/>
        </w:rPr>
        <w:t>–</w:t>
      </w:r>
      <w:r>
        <w:rPr>
          <w:lang w:val="en-GB"/>
        </w:rPr>
        <w:tab/>
      </w:r>
      <w:r w:rsidRPr="00C2758E">
        <w:rPr>
          <w:lang w:val="en-GB"/>
        </w:rPr>
        <w:t>Assessment of participation in class - 20% of the total mark</w:t>
      </w:r>
    </w:p>
    <w:p w14:paraId="48E0AC00" w14:textId="77777777" w:rsidR="00D37EA0" w:rsidRPr="00C2758E" w:rsidRDefault="00D37EA0" w:rsidP="00D37EA0">
      <w:pPr>
        <w:pStyle w:val="Testo2"/>
        <w:rPr>
          <w:lang w:val="en-GB"/>
        </w:rPr>
      </w:pPr>
      <w:r w:rsidRPr="00C2758E">
        <w:rPr>
          <w:lang w:val="en-GB"/>
        </w:rPr>
        <w:t>It is possible to hold the written test at any session. However, given the nature of the other forms of evaluation, these require a regular presence and participation to lectures. It is therefore mandatory to be present in class.</w:t>
      </w:r>
    </w:p>
    <w:p w14:paraId="6E33523D" w14:textId="77777777" w:rsidR="00D37EA0" w:rsidRPr="00C2758E" w:rsidRDefault="00D37EA0" w:rsidP="00D37EA0">
      <w:pPr>
        <w:pStyle w:val="Testo2"/>
        <w:rPr>
          <w:lang w:val="en-GB"/>
        </w:rPr>
      </w:pPr>
      <w:r w:rsidRPr="00C2758E">
        <w:rPr>
          <w:lang w:val="en-GB"/>
        </w:rPr>
        <w:t>There are no intermediate exams.</w:t>
      </w:r>
    </w:p>
    <w:p w14:paraId="41E6F0FC" w14:textId="77777777" w:rsidR="00D37EA0" w:rsidRPr="00C2758E" w:rsidRDefault="00D37EA0" w:rsidP="00D37EA0">
      <w:pPr>
        <w:pStyle w:val="Testo2"/>
        <w:rPr>
          <w:lang w:val="en-US"/>
        </w:rPr>
      </w:pPr>
      <w:r w:rsidRPr="00C2758E">
        <w:rPr>
          <w:lang w:val="en-GB"/>
        </w:rPr>
        <w:t xml:space="preserve">For non-attending students the assessment is based on a longer test. Non-attending students are asked to use material distributed by teachers and to study </w:t>
      </w:r>
      <w:r w:rsidRPr="00C2758E">
        <w:rPr>
          <w:lang w:val="en-US"/>
        </w:rPr>
        <w:t>Crawshaw J, Budhwar P, Davis A. Human Resource Management Strategic and International Perspectives, Sage, London (2019) [Chapters 1, 2, 7, 9, 10, 11, 14].</w:t>
      </w:r>
    </w:p>
    <w:p w14:paraId="0B75A1B3" w14:textId="77777777" w:rsidR="000A5DAF" w:rsidRPr="000A5DAF" w:rsidRDefault="000A5DAF" w:rsidP="000A5DAF">
      <w:pPr>
        <w:spacing w:before="240" w:after="120"/>
        <w:rPr>
          <w:rFonts w:ascii="Times" w:eastAsia="Times New Roman" w:hAnsi="Times" w:cs="Times New Roman"/>
          <w:b/>
          <w:i/>
          <w:caps/>
          <w:noProof/>
          <w:sz w:val="18"/>
          <w:szCs w:val="20"/>
          <w:lang w:val="en-US" w:eastAsia="it-IT"/>
        </w:rPr>
      </w:pPr>
      <w:r w:rsidRPr="000A5DAF">
        <w:rPr>
          <w:rFonts w:ascii="Times" w:eastAsia="Times New Roman" w:hAnsi="Times" w:cs="Times New Roman"/>
          <w:b/>
          <w:i/>
          <w:caps/>
          <w:noProof/>
          <w:sz w:val="18"/>
          <w:szCs w:val="20"/>
          <w:lang w:val="en-US" w:eastAsia="it-IT"/>
        </w:rPr>
        <w:t>NOTES AND PREREQUISITES</w:t>
      </w:r>
    </w:p>
    <w:p w14:paraId="7CB97F26" w14:textId="77777777" w:rsidR="000A5DAF" w:rsidRPr="00C2758E" w:rsidRDefault="000A5DAF" w:rsidP="000A5DAF">
      <w:pPr>
        <w:pStyle w:val="Testo2"/>
        <w:rPr>
          <w:lang w:val="en-GB"/>
        </w:rPr>
      </w:pPr>
      <w:r w:rsidRPr="00C2758E">
        <w:rPr>
          <w:lang w:val="en-GB"/>
        </w:rPr>
        <w:t>Students must be fluent in written/spoken English and must ready to prepare and study materials before class sessions.</w:t>
      </w:r>
    </w:p>
    <w:p w14:paraId="341D8834" w14:textId="62FBCC49" w:rsidR="00D37EA0" w:rsidRPr="000A5DAF" w:rsidRDefault="000A5DAF" w:rsidP="000A5DAF">
      <w:pPr>
        <w:pStyle w:val="Testo2"/>
        <w:spacing w:before="120"/>
        <w:rPr>
          <w:i/>
          <w:iCs/>
          <w:szCs w:val="18"/>
          <w:lang w:val="en-US"/>
        </w:rPr>
      </w:pPr>
      <w:r w:rsidRPr="000A5DAF">
        <w:rPr>
          <w:i/>
          <w:iCs/>
          <w:szCs w:val="18"/>
          <w:lang w:val="en-US"/>
        </w:rPr>
        <w:t>Office hours</w:t>
      </w:r>
    </w:p>
    <w:p w14:paraId="3A54E196" w14:textId="77777777" w:rsidR="000A5DAF" w:rsidRPr="000A5DAF" w:rsidRDefault="000A5DAF" w:rsidP="000A5DAF">
      <w:pPr>
        <w:pStyle w:val="Testo2"/>
        <w:rPr>
          <w:rFonts w:cs="Times"/>
          <w:szCs w:val="18"/>
          <w:lang w:val="en-US"/>
        </w:rPr>
      </w:pPr>
      <w:r w:rsidRPr="000A5DAF">
        <w:rPr>
          <w:rFonts w:cs="Times"/>
          <w:szCs w:val="18"/>
          <w:lang w:val="en-US"/>
        </w:rPr>
        <w:t xml:space="preserve">Monday 9.00 – 10.00 </w:t>
      </w:r>
    </w:p>
    <w:sectPr w:rsidR="000A5DAF" w:rsidRPr="000A5DA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7431F"/>
    <w:multiLevelType w:val="hybridMultilevel"/>
    <w:tmpl w:val="56EE6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756684"/>
    <w:multiLevelType w:val="hybridMultilevel"/>
    <w:tmpl w:val="9C447F5A"/>
    <w:lvl w:ilvl="0" w:tplc="ACF02234">
      <w:start w:val="2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9724515">
    <w:abstractNumId w:val="0"/>
  </w:num>
  <w:num w:numId="2" w16cid:durableId="1295598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A3"/>
    <w:rsid w:val="000A5DAF"/>
    <w:rsid w:val="000F5E2A"/>
    <w:rsid w:val="00187B99"/>
    <w:rsid w:val="002014DD"/>
    <w:rsid w:val="00275158"/>
    <w:rsid w:val="002D5E17"/>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C163A3"/>
    <w:rsid w:val="00D37EA0"/>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DDCE9"/>
  <w15:chartTrackingRefBased/>
  <w15:docId w15:val="{4C2B6984-7215-4B8A-B8F2-C872CE15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5E2A"/>
    <w:rPr>
      <w:rFonts w:asciiTheme="minorHAnsi" w:eastAsiaTheme="minorHAnsi" w:hAnsiTheme="minorHAnsi" w:cstheme="minorBidi"/>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37EA0"/>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D37EA0"/>
    <w:pPr>
      <w:ind w:left="720"/>
      <w:contextualSpacing/>
    </w:pPr>
  </w:style>
  <w:style w:type="character" w:customStyle="1" w:styleId="Titolo3Carattere">
    <w:name w:val="Titolo 3 Carattere"/>
    <w:basedOn w:val="Carpredefinitoparagrafo"/>
    <w:link w:val="Titolo3"/>
    <w:rsid w:val="00D37EA0"/>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956</Words>
  <Characters>5509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4</cp:revision>
  <cp:lastPrinted>2003-03-27T10:42:00Z</cp:lastPrinted>
  <dcterms:created xsi:type="dcterms:W3CDTF">2022-07-06T08:55:00Z</dcterms:created>
  <dcterms:modified xsi:type="dcterms:W3CDTF">2022-07-06T09:09:00Z</dcterms:modified>
</cp:coreProperties>
</file>