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825E" w14:textId="77777777" w:rsidR="00FB6224" w:rsidRDefault="009D7052">
      <w:pPr>
        <w:pStyle w:val="Titolo1"/>
      </w:pPr>
      <w:r>
        <w:t>Economia delle forme di mercato (laurea in Direzione e consulenza aziendale)</w:t>
      </w:r>
    </w:p>
    <w:p w14:paraId="43E90BF1" w14:textId="77777777" w:rsidR="00FB6224" w:rsidRDefault="009D7052">
      <w:pPr>
        <w:pStyle w:val="Titolo2"/>
      </w:pPr>
      <w:r>
        <w:t xml:space="preserve">Prof. </w:t>
      </w:r>
      <w:r w:rsidR="00627DE5">
        <w:t>Claudio Cozza</w:t>
      </w:r>
    </w:p>
    <w:p w14:paraId="5E7BF471" w14:textId="77777777" w:rsidR="00FB6224" w:rsidRDefault="009D7052">
      <w:pPr>
        <w:spacing w:before="240" w:after="120" w:line="240" w:lineRule="exact"/>
        <w:rPr>
          <w:b/>
          <w:sz w:val="18"/>
        </w:rPr>
      </w:pPr>
      <w:r>
        <w:rPr>
          <w:b/>
          <w:i/>
          <w:sz w:val="18"/>
        </w:rPr>
        <w:t>OBIETTIVO DEL CORSO E RISULTATI DI APPRENDIMENTO ATTESI</w:t>
      </w:r>
    </w:p>
    <w:p w14:paraId="545D6F5D" w14:textId="77777777" w:rsidR="00FB6224" w:rsidRDefault="009D7052">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14:paraId="1F86143C" w14:textId="77777777" w:rsidR="00FB6224" w:rsidRDefault="009D7052">
      <w:r>
        <w:t xml:space="preserve">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w:t>
      </w:r>
      <w:proofErr w:type="gramStart"/>
      <w:r>
        <w:t>Inoltre</w:t>
      </w:r>
      <w:proofErr w:type="gramEnd"/>
      <w:r>
        <w:t xml:space="preserve"> saprà anche valutare gli effetti di tali scelte dell’impresa sul benessere della collettività.</w:t>
      </w:r>
    </w:p>
    <w:p w14:paraId="75C30647" w14:textId="77777777" w:rsidR="00FB6224" w:rsidRDefault="009D7052">
      <w:r>
        <w:t>Lo studente sarà in grado di associare, in base ad elementi caratterizzanti come numero di imprese o tipo di prodotti, i casi pratici di volta in volta analizzati alle classificazioni operate dalla teoria. Infine, lo studente sarà in grado di interpretare i principali indici relativi alla performance e produttività delle imprese.</w:t>
      </w:r>
    </w:p>
    <w:p w14:paraId="55D4D2BE" w14:textId="77777777" w:rsidR="00FB6224" w:rsidRDefault="009D7052">
      <w:pPr>
        <w:spacing w:before="240" w:after="120" w:line="240" w:lineRule="exact"/>
        <w:rPr>
          <w:b/>
          <w:sz w:val="18"/>
        </w:rPr>
      </w:pPr>
      <w:r>
        <w:rPr>
          <w:b/>
          <w:i/>
          <w:sz w:val="18"/>
        </w:rPr>
        <w:t>PROGRAMMA DEL CORSO</w:t>
      </w:r>
    </w:p>
    <w:p w14:paraId="60A5B417" w14:textId="77777777" w:rsidR="00FB6224" w:rsidRDefault="009D7052">
      <w:r>
        <w:t>1. Imprese, Industrie, Mercati</w:t>
      </w:r>
    </w:p>
    <w:p w14:paraId="4FFAB3DE" w14:textId="77777777" w:rsidR="00FB6224" w:rsidRDefault="009D7052">
      <w:r>
        <w:t>–</w:t>
      </w:r>
      <w:r>
        <w:tab/>
        <w:t>Dalla domanda (offerta) singola alla domanda (offerta) aggregata</w:t>
      </w:r>
    </w:p>
    <w:p w14:paraId="5FD3197F" w14:textId="77777777" w:rsidR="00FB6224" w:rsidRDefault="009D7052">
      <w:r>
        <w:t>–</w:t>
      </w:r>
      <w:r>
        <w:tab/>
        <w:t>Concetti di impresa; mercato di riferimento; industria</w:t>
      </w:r>
    </w:p>
    <w:p w14:paraId="408612C6" w14:textId="77777777" w:rsidR="00FB6224" w:rsidRDefault="009D7052">
      <w:r>
        <w:t>–</w:t>
      </w:r>
      <w:r>
        <w:tab/>
        <w:t>Produzione; rendimenti di scala; economie di scal</w:t>
      </w:r>
      <w:r w:rsidR="00E11476">
        <w:t>a</w:t>
      </w:r>
    </w:p>
    <w:p w14:paraId="728B1682" w14:textId="77777777" w:rsidR="00FB6224" w:rsidRDefault="009D7052">
      <w:r>
        <w:t>–</w:t>
      </w:r>
      <w:r>
        <w:tab/>
        <w:t>Le scelte delle imprese: quantità, prezzo, integrazione verticale</w:t>
      </w:r>
    </w:p>
    <w:p w14:paraId="5CEB7E99" w14:textId="77777777" w:rsidR="00FB6224" w:rsidRDefault="009D7052">
      <w:pPr>
        <w:spacing w:before="120"/>
      </w:pPr>
      <w:r>
        <w:t>2. Dalla concorrenza perfetta al monopolio</w:t>
      </w:r>
    </w:p>
    <w:p w14:paraId="516499B5" w14:textId="77777777" w:rsidR="00FB6224" w:rsidRDefault="009D7052">
      <w:r>
        <w:t>–</w:t>
      </w:r>
      <w:r>
        <w:tab/>
        <w:t xml:space="preserve">Equilibrio con e senza costi fissi. Surplus di consumatori e produttori </w:t>
      </w:r>
    </w:p>
    <w:p w14:paraId="1B69A4B3" w14:textId="77777777" w:rsidR="00FB6224" w:rsidRDefault="009D7052">
      <w:r>
        <w:t>–</w:t>
      </w:r>
      <w:r>
        <w:tab/>
        <w:t xml:space="preserve">Monopolio: ipotesi ed implicazioni. </w:t>
      </w:r>
    </w:p>
    <w:p w14:paraId="3EE028BD" w14:textId="77777777" w:rsidR="00FB6224" w:rsidRDefault="009D7052">
      <w:r>
        <w:t>–</w:t>
      </w:r>
      <w:r>
        <w:tab/>
        <w:t>Monopolio: potere di mercato ed innovazione</w:t>
      </w:r>
    </w:p>
    <w:p w14:paraId="3887BFF7" w14:textId="77777777" w:rsidR="00FB6224" w:rsidRDefault="009D7052">
      <w:pPr>
        <w:spacing w:before="120"/>
      </w:pPr>
      <w:r>
        <w:t>3. L’oligopolio e sue dinamiche.</w:t>
      </w:r>
    </w:p>
    <w:p w14:paraId="4ADC3062" w14:textId="77777777" w:rsidR="00FB6224" w:rsidRDefault="009D7052">
      <w:r>
        <w:t>–</w:t>
      </w:r>
      <w:r>
        <w:tab/>
      </w:r>
      <w:proofErr w:type="spellStart"/>
      <w:r>
        <w:t>Cournot</w:t>
      </w:r>
      <w:proofErr w:type="spellEnd"/>
      <w:r>
        <w:t xml:space="preserve"> e Bertrand. Tentativo di colludere e incentivi a deviare</w:t>
      </w:r>
    </w:p>
    <w:p w14:paraId="7C390EA4" w14:textId="77777777" w:rsidR="00FB6224" w:rsidRDefault="009D7052">
      <w:r>
        <w:t>–</w:t>
      </w:r>
      <w:r>
        <w:tab/>
        <w:t>Oligopolio: dai cartelli alle fusioni orizzontali</w:t>
      </w:r>
    </w:p>
    <w:p w14:paraId="33F3B120" w14:textId="77777777" w:rsidR="00FB6224" w:rsidRDefault="009D7052">
      <w:r>
        <w:t>–</w:t>
      </w:r>
      <w:r>
        <w:tab/>
        <w:t xml:space="preserve">Effetti di una fusione e possibili rimedi </w:t>
      </w:r>
    </w:p>
    <w:p w14:paraId="26DEE2BB" w14:textId="77777777" w:rsidR="00FB6224" w:rsidRDefault="009D7052">
      <w:pPr>
        <w:spacing w:before="120"/>
      </w:pPr>
      <w:r>
        <w:t xml:space="preserve">4. Accordi verticali, discriminazione di prezzo e differenziazione del prodotto </w:t>
      </w:r>
    </w:p>
    <w:p w14:paraId="4FACEC0F" w14:textId="77777777" w:rsidR="00FB6224" w:rsidRDefault="009D7052">
      <w:r>
        <w:t>–</w:t>
      </w:r>
      <w:r>
        <w:tab/>
        <w:t>Struttura verticale dell’industria ed accordi tra imprese</w:t>
      </w:r>
    </w:p>
    <w:p w14:paraId="37E8EA45" w14:textId="77777777" w:rsidR="00FB6224" w:rsidRDefault="009D7052">
      <w:r>
        <w:t>–</w:t>
      </w:r>
      <w:r>
        <w:tab/>
        <w:t>Doppia marginalizzazione e free riding</w:t>
      </w:r>
    </w:p>
    <w:p w14:paraId="7D702557" w14:textId="77777777" w:rsidR="00FB6224" w:rsidRDefault="009D7052">
      <w:r>
        <w:rPr>
          <w:bCs/>
        </w:rPr>
        <w:t>–</w:t>
      </w:r>
      <w:r>
        <w:rPr>
          <w:bCs/>
        </w:rPr>
        <w:tab/>
        <w:t xml:space="preserve">Tariffe in due parti e RPM. Esclusione (o </w:t>
      </w:r>
      <w:proofErr w:type="spellStart"/>
      <w:r>
        <w:rPr>
          <w:bCs/>
        </w:rPr>
        <w:t>Foreclosure</w:t>
      </w:r>
      <w:proofErr w:type="spellEnd"/>
      <w:r>
        <w:rPr>
          <w:bCs/>
        </w:rPr>
        <w:t>)</w:t>
      </w:r>
    </w:p>
    <w:p w14:paraId="5255775C" w14:textId="77777777" w:rsidR="00FB6224" w:rsidRDefault="009D7052">
      <w:r>
        <w:lastRenderedPageBreak/>
        <w:t>–</w:t>
      </w:r>
      <w:r>
        <w:tab/>
        <w:t>Contratti in esclusiva per impedire entrate</w:t>
      </w:r>
    </w:p>
    <w:p w14:paraId="33D0EEE5" w14:textId="77777777" w:rsidR="00FB6224" w:rsidRDefault="009D7052">
      <w:pPr>
        <w:spacing w:before="120"/>
      </w:pPr>
      <w:r>
        <w:t xml:space="preserve">5. Dinamiche industriali e produttività. </w:t>
      </w:r>
    </w:p>
    <w:p w14:paraId="7169A54C" w14:textId="77777777" w:rsidR="00FB6224" w:rsidRDefault="009D7052">
      <w:r>
        <w:t>–</w:t>
      </w:r>
      <w:r>
        <w:tab/>
        <w:t>Misure di produttività</w:t>
      </w:r>
    </w:p>
    <w:p w14:paraId="7CF75A34" w14:textId="77777777" w:rsidR="00FB6224" w:rsidRDefault="009D7052">
      <w:r>
        <w:t>–</w:t>
      </w:r>
      <w:r>
        <w:tab/>
        <w:t>Produttività e crescita</w:t>
      </w:r>
    </w:p>
    <w:p w14:paraId="384C7800" w14:textId="77777777" w:rsidR="00FB6224" w:rsidRDefault="009D7052">
      <w:r>
        <w:t>–</w:t>
      </w:r>
      <w:r>
        <w:tab/>
        <w:t>Modelli per il processo di crescita delle imprese</w:t>
      </w:r>
    </w:p>
    <w:p w14:paraId="68A45C42" w14:textId="77777777" w:rsidR="00FB6224" w:rsidRDefault="009D7052">
      <w:r>
        <w:t>–</w:t>
      </w:r>
      <w:r>
        <w:tab/>
        <w:t>Processi di entrata ed uscita</w:t>
      </w:r>
    </w:p>
    <w:p w14:paraId="04743C07" w14:textId="77777777" w:rsidR="00FB6224" w:rsidRDefault="009D7052">
      <w:pPr>
        <w:spacing w:before="120"/>
      </w:pPr>
      <w:r>
        <w:t>6. Evidenze statistiche dall'analisi empirica</w:t>
      </w:r>
    </w:p>
    <w:p w14:paraId="7A2F892B" w14:textId="77777777" w:rsidR="00FB6224" w:rsidRDefault="009D7052">
      <w:r>
        <w:t>–</w:t>
      </w:r>
      <w:r>
        <w:tab/>
        <w:t>Variazione della produttività nell’industria e sua scomposizione</w:t>
      </w:r>
    </w:p>
    <w:p w14:paraId="0CAE3268" w14:textId="77777777" w:rsidR="00FB6224" w:rsidRDefault="009D7052">
      <w:r>
        <w:t>–</w:t>
      </w:r>
      <w:r>
        <w:tab/>
        <w:t>Il mercato domestico ed estero</w:t>
      </w:r>
    </w:p>
    <w:p w14:paraId="11D075F5" w14:textId="77777777" w:rsidR="00FB6224" w:rsidRDefault="00E11476">
      <w:r>
        <w:t>–</w:t>
      </w:r>
      <w:r w:rsidR="009D7052">
        <w:tab/>
        <w:t>Investimenti e produttività delle imprese</w:t>
      </w:r>
    </w:p>
    <w:p w14:paraId="0549F7FF" w14:textId="77777777" w:rsidR="00FB6224" w:rsidRDefault="009D7052">
      <w:pPr>
        <w:keepNext/>
        <w:spacing w:before="240" w:after="120" w:line="240" w:lineRule="exact"/>
        <w:rPr>
          <w:b/>
          <w:sz w:val="18"/>
        </w:rPr>
      </w:pPr>
      <w:r>
        <w:rPr>
          <w:b/>
          <w:i/>
          <w:sz w:val="18"/>
        </w:rPr>
        <w:t>BIBLIOGRAFIA</w:t>
      </w:r>
    </w:p>
    <w:p w14:paraId="01BBA9C3" w14:textId="7056287E" w:rsidR="00FB6224" w:rsidRDefault="009D7052">
      <w:pPr>
        <w:pStyle w:val="Testo2"/>
      </w:pPr>
      <w:r>
        <w:t>Test</w:t>
      </w:r>
      <w:r w:rsidR="007E1B12">
        <w:t>i</w:t>
      </w:r>
      <w:r>
        <w:t xml:space="preserve"> di riferimento</w:t>
      </w:r>
    </w:p>
    <w:p w14:paraId="176C5331" w14:textId="29858325" w:rsidR="00FB6224" w:rsidRDefault="009D7052">
      <w:pPr>
        <w:pStyle w:val="Testo2"/>
        <w:spacing w:line="240" w:lineRule="atLeast"/>
        <w:ind w:left="284" w:hanging="284"/>
        <w:rPr>
          <w:spacing w:val="-5"/>
        </w:rPr>
      </w:pPr>
      <w:r>
        <w:rPr>
          <w:smallCaps/>
          <w:sz w:val="16"/>
        </w:rPr>
        <w:t>L. Cabral</w:t>
      </w:r>
      <w:r>
        <w:rPr>
          <w:smallCaps/>
          <w:spacing w:val="-5"/>
          <w:sz w:val="16"/>
        </w:rPr>
        <w:t xml:space="preserve">, </w:t>
      </w:r>
      <w:r>
        <w:rPr>
          <w:i/>
          <w:spacing w:val="-5"/>
        </w:rPr>
        <w:t>Economia industriale,</w:t>
      </w:r>
      <w:r>
        <w:rPr>
          <w:spacing w:val="-5"/>
        </w:rPr>
        <w:t xml:space="preserve"> Carocci, Roma</w:t>
      </w:r>
      <w:r w:rsidR="009741CE">
        <w:rPr>
          <w:spacing w:val="-5"/>
        </w:rPr>
        <w:t xml:space="preserve"> (nuova edizione, 2018)</w:t>
      </w:r>
    </w:p>
    <w:p w14:paraId="0204EEA6" w14:textId="4E389033" w:rsidR="009741CE" w:rsidRPr="00977B66" w:rsidRDefault="009741CE" w:rsidP="00977B66">
      <w:pPr>
        <w:pStyle w:val="Testo2"/>
        <w:spacing w:line="240" w:lineRule="atLeast"/>
        <w:ind w:left="284" w:hanging="284"/>
        <w:rPr>
          <w:spacing w:val="-5"/>
        </w:rPr>
      </w:pPr>
      <w:r>
        <w:rPr>
          <w:smallCaps/>
          <w:sz w:val="16"/>
        </w:rPr>
        <w:t xml:space="preserve">F. LOTTI, V. MELICIANI, </w:t>
      </w:r>
      <w:r w:rsidR="00977B66">
        <w:rPr>
          <w:i/>
          <w:spacing w:val="-5"/>
        </w:rPr>
        <w:t>Dinamiche industriali,</w:t>
      </w:r>
      <w:r w:rsidR="00977B66">
        <w:rPr>
          <w:spacing w:val="-5"/>
        </w:rPr>
        <w:t xml:space="preserve"> </w:t>
      </w:r>
      <w:r w:rsidR="00AD217C">
        <w:rPr>
          <w:spacing w:val="-5"/>
        </w:rPr>
        <w:t>il Mulino</w:t>
      </w:r>
      <w:r w:rsidR="00977B66">
        <w:rPr>
          <w:spacing w:val="-5"/>
        </w:rPr>
        <w:t xml:space="preserve">, </w:t>
      </w:r>
      <w:r w:rsidR="00AD217C">
        <w:rPr>
          <w:spacing w:val="-5"/>
        </w:rPr>
        <w:t>Bologna</w:t>
      </w:r>
      <w:r w:rsidR="00977B66">
        <w:rPr>
          <w:spacing w:val="-5"/>
        </w:rPr>
        <w:t xml:space="preserve"> (20</w:t>
      </w:r>
      <w:r w:rsidR="00AD217C">
        <w:rPr>
          <w:spacing w:val="-5"/>
        </w:rPr>
        <w:t>2</w:t>
      </w:r>
      <w:r w:rsidR="00977B66">
        <w:rPr>
          <w:spacing w:val="-5"/>
        </w:rPr>
        <w:t>1)</w:t>
      </w:r>
    </w:p>
    <w:p w14:paraId="31C03EDE" w14:textId="77777777" w:rsidR="00FB6224" w:rsidRDefault="009D7052">
      <w:pPr>
        <w:pStyle w:val="Testo1"/>
      </w:pPr>
      <w:r>
        <w:t xml:space="preserve">Il </w:t>
      </w:r>
      <w:proofErr w:type="spellStart"/>
      <w:r>
        <w:t>syllabus</w:t>
      </w:r>
      <w:proofErr w:type="spellEnd"/>
      <w:r>
        <w:t xml:space="preserve"> dettagliato e ulteriore materiale di studio verranno resi disponibili on-line sulla piattaforma </w:t>
      </w:r>
      <w:proofErr w:type="spellStart"/>
      <w:r>
        <w:t>Blackboard</w:t>
      </w:r>
      <w:proofErr w:type="spellEnd"/>
      <w:r>
        <w:t xml:space="preserve"> dedicata.</w:t>
      </w:r>
    </w:p>
    <w:p w14:paraId="3738A0BE" w14:textId="77777777" w:rsidR="00FB6224" w:rsidRDefault="009D7052">
      <w:pPr>
        <w:spacing w:before="240" w:after="120"/>
        <w:rPr>
          <w:b/>
          <w:i/>
          <w:sz w:val="18"/>
        </w:rPr>
      </w:pPr>
      <w:r>
        <w:rPr>
          <w:b/>
          <w:i/>
          <w:sz w:val="18"/>
        </w:rPr>
        <w:t>DIDATTICA DEL CORSO</w:t>
      </w:r>
    </w:p>
    <w:p w14:paraId="127B678D" w14:textId="77777777" w:rsidR="00FB6224" w:rsidRDefault="009D7052">
      <w:pPr>
        <w:pStyle w:val="Testo2"/>
      </w:pPr>
      <w:r>
        <w:t>Il corso, erogato in modalità blended, prevede attività in forma residenziale (50%) ed in remoto (50%).</w:t>
      </w:r>
    </w:p>
    <w:p w14:paraId="23404D7D" w14:textId="77777777" w:rsidR="00FB6224" w:rsidRDefault="009D7052">
      <w:pPr>
        <w:pStyle w:val="Testo2"/>
      </w:pPr>
      <w:r>
        <w:t xml:space="preserve">Le attività residenziali prevedono lezioni interattive di inquadramento dei temi affrontati. Le attività in remoto prevedono la fruizione di videolezioni (asincrone), la discussione attiva di articoli o casi mediante webinar (sincroni), lo svolgimento di feedback live. Il </w:t>
      </w:r>
      <w:proofErr w:type="spellStart"/>
      <w:r>
        <w:t>syllabus</w:t>
      </w:r>
      <w:proofErr w:type="spellEnd"/>
      <w:r>
        <w:t xml:space="preserve"> contenente il programma analitico del corso sarà comunicato in </w:t>
      </w:r>
      <w:proofErr w:type="spellStart"/>
      <w:r>
        <w:t>Blackboard</w:t>
      </w:r>
      <w:proofErr w:type="spellEnd"/>
      <w:r>
        <w:t>.</w:t>
      </w:r>
    </w:p>
    <w:p w14:paraId="74E96FE6" w14:textId="77777777" w:rsidR="00FB6224" w:rsidRDefault="009D7052">
      <w:pPr>
        <w:spacing w:before="240" w:after="120"/>
        <w:rPr>
          <w:b/>
          <w:i/>
          <w:sz w:val="18"/>
        </w:rPr>
      </w:pPr>
      <w:r>
        <w:rPr>
          <w:b/>
          <w:i/>
          <w:sz w:val="18"/>
        </w:rPr>
        <w:t>METODO E CRITERI DI VALUTAZIONE</w:t>
      </w:r>
    </w:p>
    <w:p w14:paraId="3A76D34D" w14:textId="77777777" w:rsidR="00FB6224" w:rsidRDefault="009D7052">
      <w:pPr>
        <w:pStyle w:val="Testo2"/>
        <w:rPr>
          <w:i/>
        </w:rPr>
      </w:pPr>
      <w:r>
        <w:rPr>
          <w:i/>
        </w:rPr>
        <w:t>A.</w:t>
      </w:r>
      <w:r>
        <w:rPr>
          <w:i/>
        </w:rPr>
        <w:tab/>
        <w:t>Valutazione progressiva in itinere</w:t>
      </w:r>
    </w:p>
    <w:p w14:paraId="7B94F77A" w14:textId="2302C9B0" w:rsidR="00FB6224" w:rsidRDefault="009D7052">
      <w:pPr>
        <w:pStyle w:val="Testo2"/>
      </w:pPr>
      <w:r>
        <w:t xml:space="preserve">Per gli studenti che optano per una valutazione progressiva in itinere si prevede che: il </w:t>
      </w:r>
      <w:r w:rsidR="002138E2">
        <w:t>5</w:t>
      </w:r>
      <w:r>
        <w:t>0% della valutazione sia effettuato mediante due prove (una prova scritta e u</w:t>
      </w:r>
      <w:r>
        <w:rPr>
          <w:rStyle w:val="xapple-converted-space"/>
        </w:rPr>
        <w:t xml:space="preserve">n </w:t>
      </w:r>
      <w:proofErr w:type="spellStart"/>
      <w:r>
        <w:rPr>
          <w:rStyle w:val="xapple-converted-space"/>
        </w:rPr>
        <w:t>assignment</w:t>
      </w:r>
      <w:proofErr w:type="spellEnd"/>
      <w:r>
        <w:rPr>
          <w:rStyle w:val="xapple-converted-space"/>
        </w:rPr>
        <w:t xml:space="preserve"> di gruppo</w:t>
      </w:r>
      <w:r>
        <w:t xml:space="preserve">), somministrate durante lo svolgimento del corso, secondo modalità, contenuti e tempistiche che saranno pubblicati nell'area </w:t>
      </w:r>
      <w:proofErr w:type="spellStart"/>
      <w:r>
        <w:t>Blackboard</w:t>
      </w:r>
      <w:proofErr w:type="spellEnd"/>
      <w:r>
        <w:t xml:space="preserve"> riservata agli studenti iscritti al corso; il </w:t>
      </w:r>
      <w:r w:rsidR="002138E2">
        <w:t>5</w:t>
      </w:r>
      <w:r>
        <w:t xml:space="preserve">0% della valutazione sia effettuato mediante una prova finale scritta di 45 minuti. Si accede alla prova finale a fronte del conseguimento di una valutazione positiva delle prove somministrate durante lo svolgimento del corso. Ai fini del superamento dell’esame, la prova finale (da tenersi in uno solo dei </w:t>
      </w:r>
      <w:proofErr w:type="gramStart"/>
      <w:r>
        <w:t>3</w:t>
      </w:r>
      <w:proofErr w:type="gramEnd"/>
      <w:r>
        <w:t xml:space="preserve"> appelli successivi al termine dell’insegnamento) deve essere positiva.</w:t>
      </w:r>
    </w:p>
    <w:p w14:paraId="1CE7009A" w14:textId="77777777" w:rsidR="00FB6224" w:rsidRDefault="009D7052">
      <w:pPr>
        <w:pStyle w:val="Testo2"/>
        <w:spacing w:before="120"/>
        <w:rPr>
          <w:i/>
        </w:rPr>
      </w:pPr>
      <w:r>
        <w:rPr>
          <w:i/>
        </w:rPr>
        <w:t>B.</w:t>
      </w:r>
      <w:r>
        <w:rPr>
          <w:i/>
        </w:rPr>
        <w:tab/>
        <w:t>Valutazione unitaria sommativa</w:t>
      </w:r>
    </w:p>
    <w:p w14:paraId="650EE265" w14:textId="77777777" w:rsidR="00FB6224" w:rsidRDefault="009D7052">
      <w:pPr>
        <w:pStyle w:val="Testo2"/>
      </w:pPr>
      <w:r>
        <w:t>Per gli studenti che intendono optare per una valutazione unitaria in sede di appello di esame, l'esame si articola in una prova scritta di 90 minuti.</w:t>
      </w:r>
    </w:p>
    <w:p w14:paraId="07101D5A" w14:textId="77777777" w:rsidR="00FB6224" w:rsidRDefault="009D7052">
      <w:pPr>
        <w:spacing w:before="240" w:after="120" w:line="240" w:lineRule="exact"/>
        <w:rPr>
          <w:b/>
          <w:i/>
          <w:sz w:val="18"/>
        </w:rPr>
      </w:pPr>
      <w:r>
        <w:rPr>
          <w:b/>
          <w:i/>
          <w:sz w:val="18"/>
        </w:rPr>
        <w:lastRenderedPageBreak/>
        <w:t>AVVERTENZE E PREREQUISITI</w:t>
      </w:r>
    </w:p>
    <w:p w14:paraId="1042C550" w14:textId="77777777" w:rsidR="00FB6224" w:rsidRDefault="009D7052">
      <w:pPr>
        <w:pStyle w:val="Testo2"/>
      </w:pPr>
      <w:r>
        <w:t xml:space="preserve">Per una proficua frequenza del corso </w:t>
      </w:r>
      <w:bookmarkStart w:id="0" w:name="__DdeLink__56984_307371981"/>
      <w:r>
        <w:t>è</w:t>
      </w:r>
      <w:bookmarkEnd w:id="0"/>
      <w:r>
        <w:t xml:space="preserve"> indispensabile una buona conoscenza della microeconomia. Un buon testo di riferimento, solo a titolo di esempio, è </w:t>
      </w:r>
      <w:r>
        <w:rPr>
          <w:smallCaps/>
          <w:sz w:val="16"/>
        </w:rPr>
        <w:t xml:space="preserve">H.R. </w:t>
      </w:r>
      <w:proofErr w:type="spellStart"/>
      <w:r>
        <w:rPr>
          <w:smallCaps/>
          <w:sz w:val="16"/>
        </w:rPr>
        <w:t>Varian</w:t>
      </w:r>
      <w:proofErr w:type="spellEnd"/>
      <w:r>
        <w:t xml:space="preserve">, Microeconomia, </w:t>
      </w:r>
      <w:proofErr w:type="spellStart"/>
      <w:r>
        <w:t>Cafoscarina</w:t>
      </w:r>
      <w:proofErr w:type="spellEnd"/>
      <w:r>
        <w:t>, Venezia.</w:t>
      </w:r>
    </w:p>
    <w:p w14:paraId="6C9849B4" w14:textId="77777777" w:rsidR="00FB6224" w:rsidRDefault="009D7052">
      <w:pPr>
        <w:pStyle w:val="Testo2"/>
      </w:pPr>
      <w:r>
        <w:t xml:space="preserve">Nel caso in cui la situazione sanitaria relativa alla pandemia di Covid-19 non dovesse consentire la didattica in presenza, sarà garantita l’erogazione dell’insegnamento in </w:t>
      </w:r>
      <w:proofErr w:type="spellStart"/>
      <w:r>
        <w:t>distance</w:t>
      </w:r>
      <w:proofErr w:type="spellEnd"/>
      <w:r>
        <w:t xml:space="preserve"> learning con modalità che verranno comunicate in tempo utile agli studenti.</w:t>
      </w:r>
    </w:p>
    <w:p w14:paraId="29506EB6" w14:textId="77777777" w:rsidR="008B65A0" w:rsidRDefault="008B65A0" w:rsidP="008B65A0">
      <w:pPr>
        <w:spacing w:before="120"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0DB3FA63" w14:textId="77777777" w:rsidR="00FB6224" w:rsidRPr="00BF1086" w:rsidRDefault="00BF1086" w:rsidP="00BF1086">
      <w:pPr>
        <w:pStyle w:val="Testo2"/>
      </w:pPr>
      <w:r w:rsidRPr="00DE3FA9">
        <w:t>Il ricevimento studenti si svolgerà presso la sede romana dell'Ateneo come da avviso pubblicato sulla pagina web personale.</w:t>
      </w:r>
      <w:r w:rsidR="009D7052">
        <w:t xml:space="preserve"> L’orario di ricevimento è comunicato prima dell’inizio del corso sulla Pagina Personale Docente.</w:t>
      </w:r>
    </w:p>
    <w:sectPr w:rsidR="00FB6224" w:rsidRPr="00BF1086">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24"/>
    <w:rsid w:val="00083AB4"/>
    <w:rsid w:val="002138E2"/>
    <w:rsid w:val="003C0BFF"/>
    <w:rsid w:val="00627DE5"/>
    <w:rsid w:val="007E1B12"/>
    <w:rsid w:val="008539DB"/>
    <w:rsid w:val="008B65A0"/>
    <w:rsid w:val="009741CE"/>
    <w:rsid w:val="00977B66"/>
    <w:rsid w:val="009D7052"/>
    <w:rsid w:val="00AD217C"/>
    <w:rsid w:val="00BF1086"/>
    <w:rsid w:val="00CD1113"/>
    <w:rsid w:val="00E11476"/>
    <w:rsid w:val="00F82800"/>
    <w:rsid w:val="00FB62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7379"/>
  <w15:docId w15:val="{62F93DB5-4D85-8B41-862E-2400255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569">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CA10-57F6-40C9-AC8D-E6E6BA7A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Paoluzzi Cristiano</cp:lastModifiedBy>
  <cp:revision>2</cp:revision>
  <cp:lastPrinted>2003-03-27T10:42:00Z</cp:lastPrinted>
  <dcterms:created xsi:type="dcterms:W3CDTF">2022-05-20T10:03:00Z</dcterms:created>
  <dcterms:modified xsi:type="dcterms:W3CDTF">2022-05-20T10:03:00Z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