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89CF" w14:textId="77777777" w:rsidR="002D5E17" w:rsidRDefault="00FA5738" w:rsidP="002D5E17">
      <w:pPr>
        <w:pStyle w:val="Titolo1"/>
      </w:pPr>
      <w:r>
        <w:t>Tecnica professionale</w:t>
      </w:r>
    </w:p>
    <w:p w14:paraId="52E5BD5D" w14:textId="77777777" w:rsidR="00FA5738" w:rsidRDefault="00FA5738" w:rsidP="00FA5738">
      <w:pPr>
        <w:pStyle w:val="Titolo2"/>
      </w:pPr>
      <w:r>
        <w:t>Prof. Ubaldo Cacciamani</w:t>
      </w:r>
    </w:p>
    <w:p w14:paraId="529E7997" w14:textId="77777777" w:rsidR="00FA5738" w:rsidRDefault="00FA5738" w:rsidP="00FA5738">
      <w:pPr>
        <w:spacing w:before="240" w:after="120" w:line="240" w:lineRule="exact"/>
        <w:rPr>
          <w:b/>
          <w:i/>
          <w:sz w:val="18"/>
        </w:rPr>
      </w:pPr>
      <w:r>
        <w:rPr>
          <w:b/>
          <w:i/>
          <w:sz w:val="18"/>
        </w:rPr>
        <w:t>OBIETTIVO DEL CORSO E RISULTATI DI APPRENDIMENTO ATTESI</w:t>
      </w:r>
    </w:p>
    <w:p w14:paraId="24AB89C6" w14:textId="77777777" w:rsidR="00D41CD9" w:rsidRPr="00D41CD9" w:rsidRDefault="00D41CD9" w:rsidP="00D41CD9">
      <w:pPr>
        <w:spacing w:line="240" w:lineRule="exact"/>
        <w:rPr>
          <w:rFonts w:ascii="Times" w:hAnsi="Times" w:cs="Times"/>
        </w:rPr>
      </w:pPr>
      <w:r w:rsidRPr="00D41CD9">
        <w:rPr>
          <w:rFonts w:ascii="Times" w:hAnsi="Times" w:cs="Times"/>
        </w:rPr>
        <w:t>Il corso intende conseguire in modo congiunto i seguenti obiettivi:</w:t>
      </w:r>
    </w:p>
    <w:p w14:paraId="63D12454" w14:textId="77777777" w:rsidR="00D41CD9" w:rsidRPr="00D41CD9" w:rsidRDefault="00D41CD9" w:rsidP="00D41CD9">
      <w:pPr>
        <w:spacing w:line="240" w:lineRule="exact"/>
        <w:ind w:left="284" w:hanging="284"/>
        <w:rPr>
          <w:rFonts w:ascii="Times" w:hAnsi="Times" w:cs="Times"/>
        </w:rPr>
      </w:pPr>
      <w:r>
        <w:rPr>
          <w:rFonts w:ascii="Times" w:hAnsi="Times" w:cs="Times"/>
        </w:rPr>
        <w:t>–</w:t>
      </w:r>
      <w:r>
        <w:rPr>
          <w:rFonts w:ascii="Times" w:hAnsi="Times" w:cs="Times"/>
        </w:rPr>
        <w:tab/>
      </w:r>
      <w:r w:rsidRPr="00D41CD9">
        <w:rPr>
          <w:rFonts w:ascii="Times" w:hAnsi="Times" w:cs="Times"/>
        </w:rPr>
        <w:t>l’acquisizione di conoscenze avanzate sui Principi contabili internazionali IAS-IFRS e di conoscenze di base di contabilità internazionale comparata;</w:t>
      </w:r>
    </w:p>
    <w:p w14:paraId="696B9B95" w14:textId="77777777" w:rsidR="00D41CD9" w:rsidRPr="00D41CD9" w:rsidRDefault="00D41CD9" w:rsidP="00D41CD9">
      <w:pPr>
        <w:spacing w:line="240" w:lineRule="exact"/>
        <w:ind w:left="284" w:hanging="284"/>
        <w:rPr>
          <w:rFonts w:ascii="Times" w:hAnsi="Times" w:cs="Times"/>
        </w:rPr>
      </w:pPr>
      <w:r>
        <w:rPr>
          <w:rFonts w:ascii="Times" w:hAnsi="Times" w:cs="Times"/>
        </w:rPr>
        <w:t>–</w:t>
      </w:r>
      <w:r>
        <w:rPr>
          <w:rFonts w:ascii="Times" w:hAnsi="Times" w:cs="Times"/>
        </w:rPr>
        <w:tab/>
      </w:r>
      <w:r w:rsidRPr="00D41CD9">
        <w:rPr>
          <w:rFonts w:ascii="Times" w:hAnsi="Times" w:cs="Times"/>
        </w:rPr>
        <w:t>l’approfondimento degli aspetti economici, legali, contabili e tributari delle principali operazioni socie</w:t>
      </w:r>
      <w:bookmarkStart w:id="0" w:name="_GoBack"/>
      <w:bookmarkEnd w:id="0"/>
      <w:r w:rsidRPr="00D41CD9">
        <w:rPr>
          <w:rFonts w:ascii="Times" w:hAnsi="Times" w:cs="Times"/>
        </w:rPr>
        <w:t>tarie straordinarie;</w:t>
      </w:r>
    </w:p>
    <w:p w14:paraId="603C80A3" w14:textId="77777777" w:rsidR="00D41CD9" w:rsidRPr="00D41CD9" w:rsidRDefault="00D41CD9" w:rsidP="00D41CD9">
      <w:pPr>
        <w:spacing w:line="240" w:lineRule="exact"/>
        <w:ind w:left="284" w:hanging="284"/>
        <w:rPr>
          <w:rFonts w:ascii="Times" w:hAnsi="Times" w:cs="Times"/>
        </w:rPr>
      </w:pPr>
      <w:r>
        <w:rPr>
          <w:rFonts w:ascii="Times" w:hAnsi="Times" w:cs="Times"/>
        </w:rPr>
        <w:t>–</w:t>
      </w:r>
      <w:r>
        <w:rPr>
          <w:rFonts w:ascii="Times" w:hAnsi="Times" w:cs="Times"/>
        </w:rPr>
        <w:tab/>
      </w:r>
      <w:r w:rsidRPr="00D41CD9">
        <w:rPr>
          <w:rFonts w:ascii="Times" w:hAnsi="Times" w:cs="Times"/>
        </w:rPr>
        <w:t xml:space="preserve">il consolidamento delle nozioni di </w:t>
      </w:r>
      <w:r w:rsidRPr="00D41CD9">
        <w:rPr>
          <w:rFonts w:ascii="Times" w:hAnsi="Times" w:cs="Times"/>
          <w:i/>
        </w:rPr>
        <w:t>corporate</w:t>
      </w:r>
      <w:r w:rsidRPr="00D41CD9">
        <w:rPr>
          <w:rFonts w:ascii="Times" w:hAnsi="Times" w:cs="Times"/>
        </w:rPr>
        <w:t xml:space="preserve"> </w:t>
      </w:r>
      <w:r w:rsidRPr="00D41CD9">
        <w:rPr>
          <w:rFonts w:ascii="Times" w:hAnsi="Times" w:cs="Times"/>
          <w:i/>
        </w:rPr>
        <w:t>governance</w:t>
      </w:r>
      <w:r w:rsidRPr="00D41CD9">
        <w:rPr>
          <w:rFonts w:ascii="Times" w:hAnsi="Times" w:cs="Times"/>
        </w:rPr>
        <w:t>;</w:t>
      </w:r>
    </w:p>
    <w:p w14:paraId="0C1FE16F" w14:textId="77777777" w:rsidR="00D41CD9" w:rsidRPr="00D41CD9" w:rsidRDefault="00D41CD9" w:rsidP="00D41CD9">
      <w:pPr>
        <w:spacing w:line="240" w:lineRule="exact"/>
        <w:ind w:left="284" w:hanging="284"/>
        <w:rPr>
          <w:rFonts w:ascii="Times" w:hAnsi="Times" w:cs="Times"/>
        </w:rPr>
      </w:pPr>
      <w:r>
        <w:rPr>
          <w:rFonts w:ascii="Times" w:hAnsi="Times" w:cs="Times"/>
        </w:rPr>
        <w:t>–</w:t>
      </w:r>
      <w:r>
        <w:rPr>
          <w:rFonts w:ascii="Times" w:hAnsi="Times" w:cs="Times"/>
        </w:rPr>
        <w:tab/>
      </w:r>
      <w:r w:rsidRPr="00D41CD9">
        <w:rPr>
          <w:rFonts w:ascii="Times" w:hAnsi="Times" w:cs="Times"/>
        </w:rPr>
        <w:t>l’acquisizione delle nozioni di base relative all’attività di consulente tecnico d’ufficio e di ausiliare di giustizia.</w:t>
      </w:r>
    </w:p>
    <w:p w14:paraId="3E18083C" w14:textId="3FDAF742" w:rsidR="00D41CD9" w:rsidRPr="00D41CD9" w:rsidRDefault="00D41CD9" w:rsidP="00D41CD9">
      <w:pPr>
        <w:spacing w:line="240" w:lineRule="exact"/>
        <w:rPr>
          <w:rFonts w:ascii="Times" w:hAnsi="Times" w:cs="Times"/>
        </w:rPr>
      </w:pPr>
      <w:r w:rsidRPr="00D41CD9">
        <w:rPr>
          <w:rFonts w:ascii="Times" w:hAnsi="Times" w:cs="Times"/>
        </w:rPr>
        <w:t>Il corso si rivolge agli studenti che intendono intraprendere sia la professione di consulente aziendale</w:t>
      </w:r>
      <w:r w:rsidR="00A67E9A">
        <w:rPr>
          <w:rFonts w:ascii="Times" w:hAnsi="Times" w:cs="Times"/>
        </w:rPr>
        <w:t xml:space="preserve">, specializzato </w:t>
      </w:r>
      <w:r w:rsidR="003D2173">
        <w:rPr>
          <w:rFonts w:ascii="Times" w:hAnsi="Times" w:cs="Times"/>
        </w:rPr>
        <w:t xml:space="preserve">nel </w:t>
      </w:r>
      <w:r w:rsidR="00A67E9A">
        <w:rPr>
          <w:rFonts w:ascii="Times" w:hAnsi="Times" w:cs="Times"/>
        </w:rPr>
        <w:t>settore M&amp;A</w:t>
      </w:r>
      <w:r w:rsidR="003D2173">
        <w:rPr>
          <w:rFonts w:ascii="Times" w:hAnsi="Times" w:cs="Times"/>
        </w:rPr>
        <w:t xml:space="preserve"> e in quello del </w:t>
      </w:r>
      <w:proofErr w:type="spellStart"/>
      <w:r w:rsidR="003D2173" w:rsidRPr="003D2173">
        <w:rPr>
          <w:rFonts w:ascii="Times" w:hAnsi="Times" w:cs="Times"/>
          <w:i/>
          <w:iCs/>
        </w:rPr>
        <w:t>financial</w:t>
      </w:r>
      <w:proofErr w:type="spellEnd"/>
      <w:r w:rsidR="003D2173" w:rsidRPr="003D2173">
        <w:rPr>
          <w:rFonts w:ascii="Times" w:hAnsi="Times" w:cs="Times"/>
          <w:i/>
          <w:iCs/>
        </w:rPr>
        <w:t xml:space="preserve"> reporting</w:t>
      </w:r>
      <w:r w:rsidRPr="00D41CD9">
        <w:rPr>
          <w:rFonts w:ascii="Times" w:hAnsi="Times" w:cs="Times"/>
        </w:rPr>
        <w:t>, dottore commercialista o revisore legale che la carriera all’interno di imprese multinazionali nelle aree finanza, amministrazione e controllo,</w:t>
      </w:r>
      <w:r w:rsidR="007053BD">
        <w:rPr>
          <w:rFonts w:ascii="Times" w:hAnsi="Times" w:cs="Times"/>
        </w:rPr>
        <w:t xml:space="preserve"> e</w:t>
      </w:r>
      <w:r w:rsidRPr="00D41CD9">
        <w:rPr>
          <w:rFonts w:ascii="Times" w:hAnsi="Times" w:cs="Times"/>
        </w:rPr>
        <w:t xml:space="preserve"> </w:t>
      </w:r>
      <w:proofErr w:type="spellStart"/>
      <w:r w:rsidRPr="00D41CD9">
        <w:rPr>
          <w:rFonts w:ascii="Times" w:hAnsi="Times" w:cs="Times"/>
          <w:i/>
        </w:rPr>
        <w:t>compliance</w:t>
      </w:r>
      <w:proofErr w:type="spellEnd"/>
      <w:r w:rsidRPr="00D41CD9">
        <w:rPr>
          <w:rFonts w:ascii="Times" w:hAnsi="Times" w:cs="Times"/>
        </w:rPr>
        <w:t xml:space="preserve"> aziendale.</w:t>
      </w:r>
    </w:p>
    <w:p w14:paraId="3B00C661" w14:textId="77777777" w:rsidR="00D41CD9" w:rsidRPr="00D41CD9" w:rsidRDefault="00D41CD9" w:rsidP="00D41CD9">
      <w:pPr>
        <w:spacing w:before="120" w:line="240" w:lineRule="exact"/>
        <w:rPr>
          <w:rFonts w:ascii="Times" w:hAnsi="Times" w:cs="Times"/>
        </w:rPr>
      </w:pPr>
      <w:r w:rsidRPr="00D41CD9">
        <w:rPr>
          <w:rFonts w:ascii="Times" w:hAnsi="Times" w:cs="Times"/>
        </w:rPr>
        <w:t>Al termine del corso ci si attende che lo studente abbia acquisito:</w:t>
      </w:r>
    </w:p>
    <w:p w14:paraId="27C75640" w14:textId="77777777" w:rsidR="00D41CD9" w:rsidRPr="00D41CD9" w:rsidRDefault="00D41CD9" w:rsidP="00CC5EDA">
      <w:pPr>
        <w:pStyle w:val="Paragrafoelenco"/>
        <w:numPr>
          <w:ilvl w:val="0"/>
          <w:numId w:val="3"/>
        </w:numPr>
        <w:spacing w:line="240" w:lineRule="exact"/>
        <w:ind w:left="284" w:hanging="284"/>
        <w:rPr>
          <w:rFonts w:ascii="Times" w:hAnsi="Times" w:cs="Times"/>
        </w:rPr>
      </w:pPr>
      <w:r w:rsidRPr="00D41CD9">
        <w:rPr>
          <w:rFonts w:ascii="Times" w:hAnsi="Times" w:cs="Times"/>
        </w:rPr>
        <w:t>conoscenza e capacità di comprensione degli aspetti principali dei Principi contabili internazionali IAS-IFRS, dell’informativa finanziaria dei bilanci redatti secondo gli IAS-IFRS, delle operazioni societarie straordinarie;</w:t>
      </w:r>
    </w:p>
    <w:p w14:paraId="25449504" w14:textId="77777777" w:rsidR="00D41CD9" w:rsidRPr="00D41CD9" w:rsidRDefault="00D41CD9" w:rsidP="00CC5EDA">
      <w:pPr>
        <w:pStyle w:val="Paragrafoelenco"/>
        <w:numPr>
          <w:ilvl w:val="0"/>
          <w:numId w:val="3"/>
        </w:numPr>
        <w:spacing w:line="240" w:lineRule="exact"/>
        <w:ind w:left="284" w:hanging="284"/>
        <w:rPr>
          <w:rFonts w:ascii="Times" w:hAnsi="Times" w:cs="Times"/>
        </w:rPr>
      </w:pPr>
      <w:r w:rsidRPr="00D41CD9">
        <w:rPr>
          <w:rFonts w:ascii="Times" w:hAnsi="Times" w:cs="Times"/>
        </w:rPr>
        <w:t>capacità di applicare le sue conoscenze, le sue capacità di comprensione e le sue abilità nel risolvere problemi a tematiche nuove, anche in contesti interdisciplinari connessi all’economia aziendale, al diritto societario e al diritto tributario;</w:t>
      </w:r>
    </w:p>
    <w:p w14:paraId="53158408" w14:textId="77777777" w:rsidR="00D41CD9" w:rsidRPr="00D41CD9" w:rsidRDefault="00D41CD9" w:rsidP="00CC5EDA">
      <w:pPr>
        <w:pStyle w:val="Paragrafoelenco"/>
        <w:numPr>
          <w:ilvl w:val="0"/>
          <w:numId w:val="3"/>
        </w:numPr>
        <w:spacing w:line="240" w:lineRule="exact"/>
        <w:ind w:left="284" w:hanging="284"/>
        <w:rPr>
          <w:rFonts w:ascii="Times" w:hAnsi="Times" w:cs="Times"/>
        </w:rPr>
      </w:pPr>
      <w:r w:rsidRPr="00D41CD9">
        <w:rPr>
          <w:rFonts w:ascii="Times" w:hAnsi="Times" w:cs="Times"/>
        </w:rPr>
        <w:lastRenderedPageBreak/>
        <w:t>capacità di integrare le conoscenze e gestire la complessità, formulando giudizi sulla base di informazioni limitate o incomplete, inclusa la riflessione sulle responsabilità sociali ed etiche legate all’applicazione delle sue conoscenze e dei suoi giudizi;</w:t>
      </w:r>
    </w:p>
    <w:p w14:paraId="7B770EFA" w14:textId="77777777" w:rsidR="00D41CD9" w:rsidRPr="00D41CD9" w:rsidRDefault="00D41CD9" w:rsidP="00CC5EDA">
      <w:pPr>
        <w:pStyle w:val="Paragrafoelenco"/>
        <w:numPr>
          <w:ilvl w:val="0"/>
          <w:numId w:val="3"/>
        </w:numPr>
        <w:spacing w:line="240" w:lineRule="exact"/>
        <w:ind w:left="284" w:hanging="284"/>
        <w:rPr>
          <w:rFonts w:ascii="Times" w:hAnsi="Times" w:cs="Times"/>
        </w:rPr>
      </w:pPr>
      <w:r w:rsidRPr="00D41CD9">
        <w:rPr>
          <w:rFonts w:ascii="Times" w:hAnsi="Times" w:cs="Times"/>
        </w:rPr>
        <w:t>capacità nel comunicare in modo chiaro e privo di ambiguità le proprie conclusioni, le proprie conoscenze e le ragioni sottostanti ad interlocutori specialisti e non specialisti;</w:t>
      </w:r>
    </w:p>
    <w:p w14:paraId="2186987D" w14:textId="77777777" w:rsidR="00D41CD9" w:rsidRPr="00D41CD9" w:rsidRDefault="00D41CD9" w:rsidP="00CC5EDA">
      <w:pPr>
        <w:pStyle w:val="Paragrafoelenco"/>
        <w:numPr>
          <w:ilvl w:val="0"/>
          <w:numId w:val="3"/>
        </w:numPr>
        <w:spacing w:line="240" w:lineRule="exact"/>
        <w:ind w:left="284" w:hanging="284"/>
        <w:rPr>
          <w:rFonts w:ascii="Times" w:hAnsi="Times" w:cs="Times"/>
        </w:rPr>
      </w:pPr>
      <w:r w:rsidRPr="00D41CD9">
        <w:rPr>
          <w:rFonts w:ascii="Times" w:hAnsi="Times" w:cs="Times"/>
        </w:rPr>
        <w:t>capacità di apprendimento che gli consenta di continuare a progredire in modo autonomo negli studi dell’economia aziendale, del diritto contabile e societario.</w:t>
      </w:r>
    </w:p>
    <w:p w14:paraId="4394BD11" w14:textId="77777777" w:rsidR="00FA5738" w:rsidRDefault="00FA5738" w:rsidP="00FA5738">
      <w:pPr>
        <w:spacing w:before="240" w:after="120" w:line="240" w:lineRule="exact"/>
        <w:rPr>
          <w:b/>
          <w:i/>
          <w:sz w:val="18"/>
        </w:rPr>
      </w:pPr>
      <w:r>
        <w:rPr>
          <w:b/>
          <w:i/>
          <w:sz w:val="18"/>
        </w:rPr>
        <w:t>PROGRAMMA DEL CORSO</w:t>
      </w:r>
    </w:p>
    <w:p w14:paraId="3C25FDDB"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La tecnica professionale nell’ambito delle discipline economico aziendali; campi di inda</w:t>
      </w:r>
      <w:r>
        <w:rPr>
          <w:rFonts w:ascii="Times" w:hAnsi="Times" w:cs="Times"/>
        </w:rPr>
        <w:t>gine e metodologie applicative.</w:t>
      </w:r>
    </w:p>
    <w:p w14:paraId="18889BBE"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Il sistema di governo delle imprese: gli attori; i loro ruoli; le responsabilità e i doveri; gli orientamenti recenti in campo nazionale e internazionale. Doveri, responsabilità e norme di compor</w:t>
      </w:r>
      <w:r>
        <w:rPr>
          <w:rFonts w:ascii="Times" w:hAnsi="Times" w:cs="Times"/>
        </w:rPr>
        <w:t>tamento del Collegio sindacale.</w:t>
      </w:r>
    </w:p>
    <w:p w14:paraId="4BCB920D"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I Principi contabili internazionali IAS-IFRS: quadro giuridico; obiettivi, schemi, contenuti e caratteristiche del bilancio IAS-IFRS.</w:t>
      </w:r>
    </w:p>
    <w:p w14:paraId="60108576" w14:textId="03306A17" w:rsidR="001B5E05" w:rsidRPr="00475154" w:rsidRDefault="001B5E05" w:rsidP="00475154">
      <w:pPr>
        <w:pStyle w:val="Paragrafoelenco"/>
        <w:numPr>
          <w:ilvl w:val="0"/>
          <w:numId w:val="5"/>
        </w:numPr>
        <w:spacing w:line="240" w:lineRule="exact"/>
        <w:ind w:left="284" w:hanging="284"/>
        <w:rPr>
          <w:rFonts w:ascii="Times" w:hAnsi="Times" w:cs="Times"/>
        </w:rPr>
      </w:pPr>
      <w:r w:rsidRPr="001B5E05">
        <w:rPr>
          <w:rFonts w:ascii="Times" w:hAnsi="Times" w:cs="Times"/>
        </w:rPr>
        <w:t>Analisi e approfondimento di singoli IAS-IFRS, con particolare riferimento a quelli di nuova emanazione e a quelli che si differenziano maggiormente dai principi contabili nazionali emanati dall’OIC</w:t>
      </w:r>
      <w:r w:rsidRPr="00475154">
        <w:rPr>
          <w:rFonts w:ascii="Times" w:hAnsi="Times" w:cs="Times"/>
        </w:rPr>
        <w:t>.</w:t>
      </w:r>
    </w:p>
    <w:p w14:paraId="74DCF221"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Le operazioni straordinarie: aspetti economici,</w:t>
      </w:r>
      <w:r>
        <w:rPr>
          <w:rFonts w:ascii="Times" w:hAnsi="Times" w:cs="Times"/>
        </w:rPr>
        <w:t xml:space="preserve"> legali, contabili e tributari.</w:t>
      </w:r>
    </w:p>
    <w:p w14:paraId="5B41DC44"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I bilanci straordinari da redigere in occasione di operazioni di conferimento d’azienda, di cessione d’azienda, di trasformazione di società, di liquidazione volontaria, di fusione e di scissione di società; altri bilanci straordinari.</w:t>
      </w:r>
    </w:p>
    <w:p w14:paraId="08ABF559" w14:textId="77777777" w:rsidR="001B5E05" w:rsidRPr="001B5E05" w:rsidRDefault="001B5E05" w:rsidP="00CC5EDA">
      <w:pPr>
        <w:pStyle w:val="Paragrafoelenco"/>
        <w:numPr>
          <w:ilvl w:val="0"/>
          <w:numId w:val="5"/>
        </w:numPr>
        <w:spacing w:line="240" w:lineRule="exact"/>
        <w:ind w:left="284" w:hanging="284"/>
        <w:rPr>
          <w:rFonts w:ascii="Times" w:hAnsi="Times" w:cs="Times"/>
        </w:rPr>
      </w:pPr>
      <w:r w:rsidRPr="001B5E05">
        <w:rPr>
          <w:rFonts w:ascii="Times" w:hAnsi="Times" w:cs="Times"/>
        </w:rPr>
        <w:t>Cenni sul Dottore commercialista come consulente tecnico ed ausiliare di giustizia.</w:t>
      </w:r>
    </w:p>
    <w:p w14:paraId="47F0063D" w14:textId="77777777" w:rsidR="00FA5738" w:rsidRDefault="00FA5738" w:rsidP="00CC5EDA">
      <w:pPr>
        <w:spacing w:before="240" w:after="120"/>
        <w:rPr>
          <w:b/>
          <w:i/>
          <w:sz w:val="18"/>
        </w:rPr>
      </w:pPr>
      <w:r>
        <w:rPr>
          <w:b/>
          <w:i/>
          <w:sz w:val="18"/>
        </w:rPr>
        <w:t>BIBLIOGRAFIA</w:t>
      </w:r>
    </w:p>
    <w:p w14:paraId="5E2C20C2" w14:textId="77777777" w:rsidR="001B5E05" w:rsidRPr="001B5E05" w:rsidRDefault="001B5E05" w:rsidP="001B5E05">
      <w:pPr>
        <w:pStyle w:val="Testo1"/>
        <w:spacing w:before="0"/>
      </w:pPr>
      <w:r w:rsidRPr="001B5E05">
        <w:lastRenderedPageBreak/>
        <w:t xml:space="preserve">Testi consigliati: </w:t>
      </w:r>
    </w:p>
    <w:p w14:paraId="49F74510" w14:textId="694EB84E" w:rsidR="004902D1" w:rsidRDefault="001B5E05" w:rsidP="004902D1">
      <w:pPr>
        <w:pStyle w:val="Testo1"/>
        <w:spacing w:before="0"/>
      </w:pPr>
      <w:r>
        <w:t>–</w:t>
      </w:r>
      <w:r>
        <w:tab/>
      </w:r>
      <w:r w:rsidR="00CC5EDA">
        <w:t>F. Di Lazzaro-T. Fabi-</w:t>
      </w:r>
      <w:r w:rsidRPr="001B5E05">
        <w:t xml:space="preserve">M. Tezzon, </w:t>
      </w:r>
      <w:r w:rsidRPr="001B5E05">
        <w:rPr>
          <w:i/>
        </w:rPr>
        <w:t>Principi contabili internazionali: temi e applicazioni</w:t>
      </w:r>
      <w:r w:rsidRPr="001B5E05">
        <w:t>, Giappichelli, edizione 2018;</w:t>
      </w:r>
    </w:p>
    <w:p w14:paraId="2EC96B5F" w14:textId="0028E34C" w:rsidR="004902D1" w:rsidRDefault="004902D1" w:rsidP="004902D1">
      <w:pPr>
        <w:pStyle w:val="Testo1"/>
        <w:numPr>
          <w:ilvl w:val="0"/>
          <w:numId w:val="8"/>
        </w:numPr>
        <w:spacing w:before="0"/>
        <w:ind w:left="284" w:hanging="284"/>
      </w:pPr>
      <w:r w:rsidRPr="001B5E05">
        <w:t xml:space="preserve">M. Caratozzolo, </w:t>
      </w:r>
      <w:r w:rsidRPr="001B5E05">
        <w:rPr>
          <w:i/>
        </w:rPr>
        <w:t>I bilanci straordinari</w:t>
      </w:r>
      <w:r w:rsidRPr="001B5E05">
        <w:t>, Giuffré, seconda edizione;</w:t>
      </w:r>
    </w:p>
    <w:p w14:paraId="4F790CC5" w14:textId="0C0173F0" w:rsidR="004902D1" w:rsidRPr="001B5E05" w:rsidRDefault="004902D1" w:rsidP="004902D1">
      <w:pPr>
        <w:pStyle w:val="Testo1"/>
        <w:numPr>
          <w:ilvl w:val="0"/>
          <w:numId w:val="8"/>
        </w:numPr>
        <w:spacing w:before="0"/>
        <w:ind w:left="284" w:hanging="284"/>
      </w:pPr>
      <w:r w:rsidRPr="004902D1">
        <w:t xml:space="preserve">R. Perotta, Luca Bertoli, </w:t>
      </w:r>
      <w:r w:rsidRPr="004902D1">
        <w:rPr>
          <w:i/>
        </w:rPr>
        <w:t>Le operazioni straordinarie: conferimento d'azienda e di partecipazioni, fusione e scissione</w:t>
      </w:r>
      <w:r w:rsidRPr="004902D1">
        <w:t>, Giuffrè, 2015</w:t>
      </w:r>
    </w:p>
    <w:p w14:paraId="65DA0959" w14:textId="2A54AD7D" w:rsidR="001B5E05" w:rsidRPr="00475154" w:rsidRDefault="001B5E05" w:rsidP="00475154">
      <w:pPr>
        <w:pStyle w:val="Testo1"/>
        <w:spacing w:before="0"/>
        <w:rPr>
          <w:lang w:val="en-US"/>
        </w:rPr>
      </w:pPr>
      <w:r w:rsidRPr="00CC5EDA">
        <w:rPr>
          <w:lang w:val="en-US"/>
        </w:rPr>
        <w:t>–</w:t>
      </w:r>
      <w:r w:rsidRPr="00CC5EDA">
        <w:rPr>
          <w:lang w:val="en-US"/>
        </w:rPr>
        <w:tab/>
        <w:t xml:space="preserve">IASB (International Accounting Standard Board), </w:t>
      </w:r>
      <w:r w:rsidRPr="004902D1">
        <w:rPr>
          <w:i/>
          <w:lang w:val="en-US"/>
        </w:rPr>
        <w:t>International financial reporting standards IFRS</w:t>
      </w:r>
      <w:r w:rsidRPr="00CC5EDA">
        <w:rPr>
          <w:lang w:val="en-US"/>
        </w:rPr>
        <w:t>, International Accounting Standards Committee Foundation (IASCF).</w:t>
      </w:r>
    </w:p>
    <w:p w14:paraId="78A57D09" w14:textId="77777777" w:rsidR="001B5E05" w:rsidRPr="001B5E05" w:rsidRDefault="001B5E05" w:rsidP="00475154">
      <w:pPr>
        <w:pStyle w:val="Testo1"/>
        <w:spacing w:before="0"/>
        <w:ind w:left="0" w:firstLine="284"/>
      </w:pPr>
      <w:r w:rsidRPr="001B5E05">
        <w:t>Potranno essere segnalati in aula o tramite Blackboard singole pubblicazioni, testi e siti web da consultare.</w:t>
      </w:r>
    </w:p>
    <w:p w14:paraId="7FBABD13" w14:textId="77777777" w:rsidR="00FA5738" w:rsidRDefault="00FA5738" w:rsidP="00FA5738">
      <w:pPr>
        <w:spacing w:before="240" w:after="120"/>
        <w:rPr>
          <w:b/>
          <w:i/>
          <w:sz w:val="18"/>
        </w:rPr>
      </w:pPr>
      <w:r>
        <w:rPr>
          <w:b/>
          <w:i/>
          <w:sz w:val="18"/>
        </w:rPr>
        <w:t>DIDATTICA DEL CORSO</w:t>
      </w:r>
    </w:p>
    <w:p w14:paraId="39F47704" w14:textId="77777777" w:rsidR="001B5E05" w:rsidRPr="001B5E05" w:rsidRDefault="001B5E05" w:rsidP="001B5E05">
      <w:pPr>
        <w:pStyle w:val="Testo2"/>
      </w:pPr>
      <w:r w:rsidRPr="001B5E05">
        <w:t>Lezioni frontali in aula e cicli di esercitazioni in gruppo su aspetti inerenti alle operazioni straordinarie, ai bilanci consolidati e d’esercizio redatti secondo i principi contabili internazionali. Gli argomenti del corso potranno formare oggetto di approfondimento e dibattito attraverso seminari o testimonianze dal mondo aziendale, professionale o accademico. È previsto l’uso della piattaforma informatica Blackboard per la distribuzione dei materiali didattici, la consegna di elaborati, la comunicazione dei voti e altro.</w:t>
      </w:r>
    </w:p>
    <w:p w14:paraId="7286AAB1" w14:textId="77777777" w:rsidR="00FA5738" w:rsidRDefault="00FA5738" w:rsidP="00FA5738">
      <w:pPr>
        <w:spacing w:before="240" w:after="120"/>
        <w:rPr>
          <w:b/>
          <w:i/>
          <w:sz w:val="18"/>
        </w:rPr>
      </w:pPr>
      <w:r>
        <w:rPr>
          <w:b/>
          <w:i/>
          <w:sz w:val="18"/>
        </w:rPr>
        <w:t>METODO E CRITERI DI VALUTAZIONE</w:t>
      </w:r>
    </w:p>
    <w:p w14:paraId="334F4B20" w14:textId="56138199" w:rsidR="009908AC" w:rsidRPr="009908AC" w:rsidRDefault="009908AC" w:rsidP="0051348E">
      <w:pPr>
        <w:pStyle w:val="Testo2"/>
        <w:tabs>
          <w:tab w:val="clear" w:pos="284"/>
        </w:tabs>
      </w:pPr>
      <w:r w:rsidRPr="009908AC">
        <w:t>Il metodo di valutazione è basato su due prove scritte</w:t>
      </w:r>
      <w:r w:rsidR="00AD32C3">
        <w:t xml:space="preserve"> in presenza</w:t>
      </w:r>
      <w:r w:rsidRPr="009908AC">
        <w:t xml:space="preserve">: una prova intermedia sulla prima metà del corso; un esame di profitto sulla seconda metà del corso o sull’intero corso. Il voto della prova intermedia pesa il 50% del voto finale, che è determinato come media aritmetica tra il voto della prova intermedia ed il voto dell’esame di profitto sulla seconda metà del corso. Il voto della prova intermedia può essere conservato fino alla </w:t>
      </w:r>
      <w:r w:rsidR="0051348E" w:rsidRPr="0051348E">
        <w:t xml:space="preserve">prima sessione utile degli esami di profitto </w:t>
      </w:r>
      <w:r w:rsidR="0051348E">
        <w:t>dopo la conclusione delle lezioni</w:t>
      </w:r>
      <w:r w:rsidRPr="009908AC">
        <w:t>. Coloro che non sostengono la prova intermedia, ne rifiutano il voto o sostengono l’esame di profitto in un anno accademico successivo a quello in cui si è tenuto il corso devono sostenere una prova scritta sull’intero programma del corso.</w:t>
      </w:r>
    </w:p>
    <w:p w14:paraId="0401EA2A" w14:textId="47A97FBB" w:rsidR="009908AC" w:rsidRPr="009908AC" w:rsidRDefault="009908AC" w:rsidP="0051348E">
      <w:pPr>
        <w:pStyle w:val="Testo2"/>
      </w:pPr>
      <w:r w:rsidRPr="009908AC">
        <w:t xml:space="preserve">Le prove scritte prevedono: a) domande a risposta aperta ove lo studente espone sinteticamente le conoscenze apprese su definizioni e argomenti fondamentali del corso; b) domande a risposta multipla su </w:t>
      </w:r>
      <w:r w:rsidRPr="009908AC">
        <w:lastRenderedPageBreak/>
        <w:t>singole casistiche; c) casi aziendali ed esercitazioni che prevedono la soluzione di problemi e casi pratici mediante l’applicazione delle conoscenze tecniche acquisite durante il corso.</w:t>
      </w:r>
    </w:p>
    <w:p w14:paraId="5880F113" w14:textId="595D430A" w:rsidR="009908AC" w:rsidRDefault="009908AC" w:rsidP="009908AC">
      <w:pPr>
        <w:pStyle w:val="Testo2"/>
      </w:pPr>
      <w:r w:rsidRPr="009908AC">
        <w:t>La Commissione di esame, a sua discrezione, può chiedere un’integrazione orale, anche a singoli studenti, su tutto il programma del corso qualora sussistano dei dubbi sui contenuti della prova scritta tali da comprometterne la valutazione. Tale eventualità è comunicata ai candidati in concomitanza con l’esposizione dei risultati dell’esame scritto. Il candidato che si rifiuta di sostenere il colloquio orale perde il voto conseguito nella prova scritta. L’eventuale prova integrativa orale avrà luogo improrogabilmente nella data fissata dalla Commissione.</w:t>
      </w:r>
    </w:p>
    <w:p w14:paraId="69E1C4ED" w14:textId="20860ECA" w:rsidR="00AD32C3" w:rsidRPr="009908AC" w:rsidRDefault="00AD32C3" w:rsidP="009908AC">
      <w:pPr>
        <w:pStyle w:val="Testo2"/>
      </w:pPr>
      <w:r w:rsidRPr="00FD2DF5">
        <w:t>Nel caso in cui la situazione sanitaria relativa alla pandemia d</w:t>
      </w:r>
      <w:r>
        <w:t>a</w:t>
      </w:r>
      <w:r w:rsidRPr="00FD2DF5">
        <w:t xml:space="preserve"> Covid-19 non dovesse consentire </w:t>
      </w:r>
      <w:r>
        <w:t>il sostenimento delle prove di esame in presenza</w:t>
      </w:r>
      <w:r w:rsidRPr="00FD2DF5">
        <w:t xml:space="preserve">, verranno comunicate </w:t>
      </w:r>
      <w:r>
        <w:t xml:space="preserve">le modalità di esame </w:t>
      </w:r>
      <w:r w:rsidRPr="00FD2DF5">
        <w:t>in tempo utile agli studenti.</w:t>
      </w:r>
    </w:p>
    <w:p w14:paraId="65AD38FF" w14:textId="77777777" w:rsidR="00FA5738" w:rsidRDefault="00FA5738" w:rsidP="00FA5738">
      <w:pPr>
        <w:spacing w:before="240" w:after="120" w:line="240" w:lineRule="exact"/>
        <w:rPr>
          <w:b/>
          <w:i/>
          <w:sz w:val="18"/>
        </w:rPr>
      </w:pPr>
      <w:r>
        <w:rPr>
          <w:b/>
          <w:i/>
          <w:sz w:val="18"/>
        </w:rPr>
        <w:t>AVVERTENZE E PREREQUISITI</w:t>
      </w:r>
    </w:p>
    <w:p w14:paraId="41707956" w14:textId="54F16F83" w:rsidR="009908AC" w:rsidRPr="00375EC1" w:rsidRDefault="009908AC" w:rsidP="00375EC1">
      <w:pPr>
        <w:pStyle w:val="Testo2"/>
      </w:pPr>
      <w:r w:rsidRPr="00375EC1">
        <w:t>Per le caratteristiche delle materie trattate si consiglia la partecipazione attiva alle lezioni e</w:t>
      </w:r>
      <w:r w:rsidR="00FD2DF5">
        <w:t xml:space="preserve"> alle </w:t>
      </w:r>
      <w:r w:rsidRPr="00375EC1">
        <w:t>esercitazioni.</w:t>
      </w:r>
    </w:p>
    <w:p w14:paraId="12EBA4E6" w14:textId="4D4FC80F" w:rsidR="00FA5738" w:rsidRDefault="009908AC" w:rsidP="00375EC1">
      <w:pPr>
        <w:pStyle w:val="Testo2"/>
      </w:pPr>
      <w:r w:rsidRPr="00375EC1">
        <w:t>Le conoscenze derivanti dal sostenimento dell’esame di Metodologie e determinazioni quantitative d’azienda (avanzato) e dell’esame di Diritto societario aiutano il proficuo apprendimento delle materie trattate nel corso.</w:t>
      </w:r>
    </w:p>
    <w:p w14:paraId="08BACEA1" w14:textId="3C68EC63" w:rsidR="00FD2DF5" w:rsidRPr="00375EC1" w:rsidRDefault="00FD2DF5" w:rsidP="00375EC1">
      <w:pPr>
        <w:pStyle w:val="Testo2"/>
      </w:pPr>
      <w:r w:rsidRPr="00FD2DF5">
        <w:t>Nel caso in cui la situazione sanitaria relativa alla pandemia d</w:t>
      </w:r>
      <w:r w:rsidR="00AD32C3">
        <w:t>a</w:t>
      </w:r>
      <w:r w:rsidRPr="00FD2DF5">
        <w:t xml:space="preserve"> Covid-19 non dovesse consentire la didattica in presenza, sarà garantita l’erogazione dell’insegnamento in </w:t>
      </w:r>
      <w:r w:rsidRPr="00FD2DF5">
        <w:rPr>
          <w:i/>
        </w:rPr>
        <w:t>distance learning</w:t>
      </w:r>
      <w:r w:rsidRPr="00FD2DF5">
        <w:t xml:space="preserve"> con modalità che verranno comunicate in tempo utile agli studenti.</w:t>
      </w:r>
    </w:p>
    <w:sectPr w:rsidR="00FD2DF5" w:rsidRPr="00375EC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60A"/>
    <w:multiLevelType w:val="hybridMultilevel"/>
    <w:tmpl w:val="4844D0AA"/>
    <w:lvl w:ilvl="0" w:tplc="8104F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FB4D56"/>
    <w:multiLevelType w:val="hybridMultilevel"/>
    <w:tmpl w:val="516E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B35100"/>
    <w:multiLevelType w:val="hybridMultilevel"/>
    <w:tmpl w:val="8D125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D02C0C"/>
    <w:multiLevelType w:val="hybridMultilevel"/>
    <w:tmpl w:val="E6C23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2D649B"/>
    <w:multiLevelType w:val="hybridMultilevel"/>
    <w:tmpl w:val="B65A4D7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62DE2E99"/>
    <w:multiLevelType w:val="hybridMultilevel"/>
    <w:tmpl w:val="C44E7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EA7E2F"/>
    <w:multiLevelType w:val="hybridMultilevel"/>
    <w:tmpl w:val="3F364A54"/>
    <w:lvl w:ilvl="0" w:tplc="8104F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E2B77"/>
    <w:multiLevelType w:val="hybridMultilevel"/>
    <w:tmpl w:val="7A5CA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B4"/>
    <w:rsid w:val="000976F1"/>
    <w:rsid w:val="00187B99"/>
    <w:rsid w:val="001B5E05"/>
    <w:rsid w:val="002014DD"/>
    <w:rsid w:val="00221663"/>
    <w:rsid w:val="002D5E17"/>
    <w:rsid w:val="002F5F7D"/>
    <w:rsid w:val="003525D4"/>
    <w:rsid w:val="00375EC1"/>
    <w:rsid w:val="003D2173"/>
    <w:rsid w:val="00475154"/>
    <w:rsid w:val="004902D1"/>
    <w:rsid w:val="004D1217"/>
    <w:rsid w:val="004D6008"/>
    <w:rsid w:val="0051348E"/>
    <w:rsid w:val="005D61B4"/>
    <w:rsid w:val="00640794"/>
    <w:rsid w:val="006F1772"/>
    <w:rsid w:val="007053BD"/>
    <w:rsid w:val="008942E7"/>
    <w:rsid w:val="008A1204"/>
    <w:rsid w:val="00900CCA"/>
    <w:rsid w:val="00924B77"/>
    <w:rsid w:val="00940DA2"/>
    <w:rsid w:val="009908AC"/>
    <w:rsid w:val="009E055C"/>
    <w:rsid w:val="00A67E9A"/>
    <w:rsid w:val="00A74F6F"/>
    <w:rsid w:val="00AD32C3"/>
    <w:rsid w:val="00AD7557"/>
    <w:rsid w:val="00B50C5D"/>
    <w:rsid w:val="00B51253"/>
    <w:rsid w:val="00B525CC"/>
    <w:rsid w:val="00CC5EDA"/>
    <w:rsid w:val="00D404F2"/>
    <w:rsid w:val="00D41CD9"/>
    <w:rsid w:val="00E607E6"/>
    <w:rsid w:val="00FA5738"/>
    <w:rsid w:val="00FD2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F139B"/>
  <w15:chartTrackingRefBased/>
  <w15:docId w15:val="{7106C385-CE44-404B-ADE5-481C276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41CD9"/>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5BA2-AAEB-466D-A0D3-E2B0E724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965</Words>
  <Characters>6021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2021-05-17T09:31:00Z</dcterms:created>
  <dcterms:modified xsi:type="dcterms:W3CDTF">2021-05-17T09:31:00Z</dcterms:modified>
</cp:coreProperties>
</file>