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C0F2" w14:textId="77777777" w:rsidR="00557129" w:rsidRPr="00557129" w:rsidRDefault="00557129" w:rsidP="00557129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b/>
          <w:noProof/>
          <w:sz w:val="20"/>
          <w:szCs w:val="18"/>
          <w:lang w:eastAsia="it-IT"/>
        </w:rPr>
        <w:t>Storia del lavoro e delle relazioni industriali</w:t>
      </w:r>
    </w:p>
    <w:p w14:paraId="3DC5D7D6" w14:textId="7C6DE348" w:rsidR="00557129" w:rsidRPr="00557129" w:rsidRDefault="00557129" w:rsidP="00557129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Prof. </w:t>
      </w: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Nicola Martinelli</w:t>
      </w:r>
      <w:r w:rsidRPr="00557129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; Prof. </w:t>
      </w: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Sabina Tagliavini</w:t>
      </w:r>
    </w:p>
    <w:p w14:paraId="69F5F100" w14:textId="77777777" w:rsidR="00557129" w:rsidRPr="00557129" w:rsidRDefault="00557129" w:rsidP="0055712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557129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14:paraId="1B2B790D" w14:textId="2BAEBEB3" w:rsidR="00557129" w:rsidRDefault="00557129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Il corso ha l’obiettivo di approfondire, in un’ottica di lungo periodo, comparata (Italia, Europa, Stati Uniti) e pluridisciplinare,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le trasformazioni dei sistemi produttivi, l’evoluzione tecnologica e organizzativa delle imprese,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la formazione e </w:t>
      </w:r>
      <w:r w:rsid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lo sviluppo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dei rapporti collettivi tra lavoratori e imprenditori.</w:t>
      </w:r>
    </w:p>
    <w:p w14:paraId="25D48DFF" w14:textId="15D08BFF" w:rsidR="00557129" w:rsidRDefault="00557129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ruolo del lavoro organizzato e degli attori sociali verrà considerato anche in relazione all’affermazione degli assetti democratici pluralisti, al superamento della logica del “lavoro-merce” e all’avvio dell’incompiuta affermazione della centralità della persona lavoratore nelle imprese e negli equilibri economico sociali contemporanei.</w:t>
      </w:r>
    </w:p>
    <w:p w14:paraId="724A7D74" w14:textId="77777777" w:rsidR="00980CAB" w:rsidRDefault="00980CAB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>Il primo modulo considera, in premessa, le trasformazioni del lavoro dalle antiche corporazioni alle forme organizzative d’impresa novecentesche. Il cuore della trattazione riguarda le origini, la natura e i fini delle organizzazioni dei lavoratori e degli imprenditori in relazione all’evoluzione economica e ai diversi assetti politico-istituzionali in ambiente europeo e nord-americano fino a metà Novecento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e alla nascita del </w:t>
      </w:r>
      <w:r w:rsidRPr="00980CAB">
        <w:rPr>
          <w:rFonts w:ascii="Times New Roman" w:eastAsia="Times New Roman" w:hAnsi="Times New Roman" w:cs="Times New Roman"/>
          <w:i/>
          <w:iCs/>
          <w:sz w:val="20"/>
          <w:szCs w:val="18"/>
          <w:lang w:eastAsia="it-IT"/>
        </w:rPr>
        <w:t>new unionism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</w:t>
      </w:r>
    </w:p>
    <w:p w14:paraId="5BF0AACF" w14:textId="5FCA97C5" w:rsidR="00980CAB" w:rsidRPr="00980CAB" w:rsidRDefault="00980CAB" w:rsidP="00980CAB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Il secondo modulo si concentrerà sul caso italiano, mettendo in luce evoluzione, caratteristiche e limiti del sistema di regolazione sociale del nostro Paese. 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Casi aziendali, presentati anche attraverso testimonianze di esperti, avvicineranno lo studente ai temi oggi presenti sul tavolo delle relazioni negoziali;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>metodologie di didattica attiva</w:t>
      </w:r>
      <w:r w:rsidRPr="00980CA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gli consentiranno di applicare le conoscenze acquisite a casi e contesti concreti e di misurarsi con gli strumenti e le complessità della pratica negoziale.</w:t>
      </w:r>
    </w:p>
    <w:p w14:paraId="7C9762AA" w14:textId="0C71EFD3" w:rsidR="00980CAB" w:rsidRDefault="000B70DB" w:rsidP="00557129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Al termine del corso lo studente avrà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>sviluppato</w:t>
      </w: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competenze (conoscenze, abilità e sensibilità) utili per la gestione delle relazioni imprese-sindacati e del processo di contrattazione collettiva nell’ambito di organizzazioni complesse.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011914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Avrà acquisito conoscenze storiche sulla gestione e organizzazione delle imprese. 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Sarà in grado di </w:t>
      </w:r>
      <w:r w:rsidR="00B81DE5" w:rsidRP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>applicare le conoscenze maturate per affinare la sua sensibilità e la sua capacità di comprensione di fenomeni economici complessi, anche attuali</w:t>
      </w:r>
      <w:r w:rsid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In particolare, saprà riconoscere </w:t>
      </w:r>
      <w:r w:rsidRPr="000B70DB">
        <w:rPr>
          <w:rFonts w:ascii="Times New Roman" w:eastAsia="Times New Roman" w:hAnsi="Times New Roman" w:cs="Times New Roman"/>
          <w:sz w:val="20"/>
          <w:szCs w:val="18"/>
          <w:lang w:eastAsia="it-IT"/>
        </w:rPr>
        <w:t>la rilevanza del «fattore umano», della contrattazione collettiva e delle istituzioni sociali per la promozione di processi sostenibili di sviluppo economico-sociale da parte delle imprese e dei lavoratori.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Sarà in grado di padroneggiare il linguaggio </w:t>
      </w:r>
      <w:r w:rsidR="00B81DE5">
        <w:rPr>
          <w:rFonts w:ascii="Times New Roman" w:eastAsia="Times New Roman" w:hAnsi="Times New Roman" w:cs="Times New Roman"/>
          <w:sz w:val="20"/>
          <w:szCs w:val="18"/>
          <w:lang w:eastAsia="it-IT"/>
        </w:rPr>
        <w:t>specialistico</w:t>
      </w: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utilizzato nell’ambito della contrattazione collettiva e delle relazioni industriali in genere.</w:t>
      </w:r>
    </w:p>
    <w:p w14:paraId="7679F869" w14:textId="77777777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lastRenderedPageBreak/>
        <w:t>PROGRAMMA DEL CORSO</w:t>
      </w:r>
    </w:p>
    <w:p w14:paraId="403BC416" w14:textId="6D99DD92" w:rsidR="00BC4DEF" w:rsidRPr="00BC4DEF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Primo Modulo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 </w:t>
      </w:r>
      <w:r w:rsidRPr="00302AC9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302AC9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302AC9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rof. Nicola Martinelli</w:t>
      </w:r>
      <w:r w:rsidRPr="00302AC9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4FDE6838" w14:textId="77777777" w:rsidR="00BC4DEF" w:rsidRPr="00BC4DEF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Lavoro e rappresentanze del lavoro: le origini (XIX sec.-1914)</w:t>
      </w:r>
    </w:p>
    <w:p w14:paraId="2250F939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Introduzione: concetti di riferimento e categorie storiografiche.</w:t>
      </w:r>
    </w:p>
    <w:p w14:paraId="1775C11F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L’organizzazione del lavoro tra manifattura e fabbrica.</w:t>
      </w:r>
    </w:p>
    <w:p w14:paraId="1B7E8BB2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Natura e fini delle rappresentanze del lavoro: le Trade unions.</w:t>
      </w:r>
    </w:p>
    <w:p w14:paraId="60C1DF70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L’idealtipo inglese e le derivazioni pluralistiche nell’Europa continentale.</w:t>
      </w:r>
    </w:p>
    <w:p w14:paraId="08A5B93D" w14:textId="77777777" w:rsidR="00BC4DEF" w:rsidRPr="00BC4DEF" w:rsidRDefault="00BC4DEF" w:rsidP="00BC4DEF">
      <w:pPr>
        <w:numPr>
          <w:ilvl w:val="0"/>
          <w:numId w:val="2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Rappresentanze degli interessi e sistema economico nel capitalismo industriale delle origini.</w:t>
      </w:r>
    </w:p>
    <w:p w14:paraId="5827F81D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2)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Capitalismo dei monopoli e ristrutturazione delle rappresentanze (1914 - 1945)</w:t>
      </w:r>
    </w:p>
    <w:p w14:paraId="10665491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f</w:t>
      </w: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.  I nuovi paradigmi industriali: Taylor e Ford.</w:t>
      </w:r>
    </w:p>
    <w:p w14:paraId="40C704F5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g. Libertà democratiche vs. istituzionalizzazione.</w:t>
      </w:r>
    </w:p>
    <w:p w14:paraId="2E161361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 xml:space="preserve">h. L’esperienza USA: 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New deal</w:t>
      </w: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 xml:space="preserve"> e «</w:t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new unionism</w:t>
      </w: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>».</w:t>
      </w:r>
    </w:p>
    <w:p w14:paraId="2D361142" w14:textId="5727F6DE" w:rsidR="00BC4DEF" w:rsidRPr="00BC4DEF" w:rsidRDefault="00BC4DEF" w:rsidP="008A3B7C">
      <w:pPr>
        <w:tabs>
          <w:tab w:val="left" w:pos="284"/>
        </w:tabs>
        <w:spacing w:before="120" w:after="0" w:line="220" w:lineRule="exact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Secondo </w:t>
      </w:r>
      <w:bookmarkStart w:id="0" w:name="_GoBack"/>
      <w:bookmarkEnd w:id="0"/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 xml:space="preserve">Modulo </w:t>
      </w:r>
      <w:r w:rsidRPr="00302AC9">
        <w:rPr>
          <w:rFonts w:ascii="Times" w:eastAsia="Times New Roman" w:hAnsi="Times" w:cs="Times New Roman"/>
          <w:smallCaps/>
          <w:sz w:val="20"/>
          <w:szCs w:val="20"/>
          <w:lang w:eastAsia="it-IT"/>
        </w:rPr>
        <w:t>(</w:t>
      </w:r>
      <w:r w:rsidR="00302AC9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P</w:t>
      </w:r>
      <w:r w:rsidRPr="00302AC9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rof. Sabina Tagliavini</w:t>
      </w:r>
      <w:r w:rsidRPr="00302AC9">
        <w:rPr>
          <w:rFonts w:ascii="Times" w:eastAsia="Times New Roman" w:hAnsi="Times" w:cs="Times New Roman"/>
          <w:smallCaps/>
          <w:sz w:val="20"/>
          <w:szCs w:val="20"/>
          <w:lang w:eastAsia="it-IT"/>
        </w:rPr>
        <w:t>)</w:t>
      </w:r>
    </w:p>
    <w:p w14:paraId="0E40DB29" w14:textId="77777777" w:rsidR="00BC4DEF" w:rsidRPr="00BC4DEF" w:rsidRDefault="00BC4DEF" w:rsidP="00BC4DEF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 w:rsidRPr="00BC4DEF"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 w:rsidRPr="00BC4DEF">
        <w:rPr>
          <w:rFonts w:ascii="Times" w:eastAsia="Times New Roman" w:hAnsi="Times" w:cs="Times New Roman"/>
          <w:i/>
          <w:sz w:val="20"/>
          <w:szCs w:val="20"/>
          <w:lang w:eastAsia="it-IT"/>
        </w:rPr>
        <w:t>La revisione del «new unionism» in Europa continentale</w:t>
      </w:r>
    </w:p>
    <w:p w14:paraId="692460A0" w14:textId="77777777" w:rsidR="00BC4DEF" w:rsidRPr="00BC4DEF" w:rsidRDefault="00BC4DEF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Linee di evoluzione: dal modello webbiano alle dottrine pluralistiche.</w:t>
      </w:r>
    </w:p>
    <w:p w14:paraId="339BC4D3" w14:textId="77777777" w:rsidR="00BC4DEF" w:rsidRPr="00BC4DEF" w:rsidRDefault="00BC4DEF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Sindacato e relazioni industriali nei sistemi di «economia mista».</w:t>
      </w:r>
    </w:p>
    <w:p w14:paraId="79DA9F4D" w14:textId="77777777" w:rsidR="00BC4DEF" w:rsidRPr="00BC4DEF" w:rsidRDefault="00BC4DEF" w:rsidP="00BC4DEF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 New Roman" w:eastAsia="MS Mincho" w:hAnsi="Times New Roman" w:cs="Times New Roman"/>
          <w:sz w:val="20"/>
          <w:szCs w:val="24"/>
          <w:lang w:eastAsia="it-IT"/>
        </w:rPr>
      </w:pPr>
      <w:r w:rsidRPr="00BC4DEF">
        <w:rPr>
          <w:rFonts w:ascii="Times" w:eastAsia="MS Mincho" w:hAnsi="Times" w:cs="Times New Roman"/>
          <w:sz w:val="20"/>
          <w:szCs w:val="20"/>
          <w:lang w:eastAsia="it-IT"/>
        </w:rPr>
        <w:t>I rapporti sociali in azienda: la concezione di Mario Romani.</w:t>
      </w:r>
    </w:p>
    <w:p w14:paraId="4B783532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2) </w:t>
      </w:r>
      <w:r w:rsidRPr="00BC4DEF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La regolazione incompiuta: il caso italiano nel Novecento.</w:t>
      </w:r>
    </w:p>
    <w:p w14:paraId="5D9DA61D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  <w:t>d. Alle origini della contrattazione e della rappresentanza.</w:t>
      </w:r>
    </w:p>
    <w:p w14:paraId="03FA9668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  <w:t>e.  Le relazioni industriali negli anni del «miracolo economico».</w:t>
      </w:r>
    </w:p>
    <w:p w14:paraId="3F68CE87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  <w:t>f.  La crisi della regolazione contrattuale e la conflittualità permanente.</w:t>
      </w:r>
    </w:p>
    <w:p w14:paraId="32C7D41B" w14:textId="77777777" w:rsidR="00BC4DEF" w:rsidRPr="00BC4DEF" w:rsidRDefault="00BC4DEF" w:rsidP="00BC4DEF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C4DEF">
        <w:rPr>
          <w:rFonts w:ascii="Times" w:eastAsia="Times New Roman" w:hAnsi="Times" w:cs="Times New Roman"/>
          <w:sz w:val="20"/>
          <w:szCs w:val="20"/>
          <w:lang w:eastAsia="it-IT"/>
        </w:rPr>
        <w:tab/>
        <w:t xml:space="preserve">g. La ristrutturazione delle relazioni tra neo-liberismo e nuove responsabilità. </w:t>
      </w:r>
    </w:p>
    <w:p w14:paraId="3720D917" w14:textId="13425FEE" w:rsidR="00BC4DEF" w:rsidRPr="00BC4DEF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BIBLIOGRAFIA</w:t>
      </w:r>
    </w:p>
    <w:p w14:paraId="02351390" w14:textId="7466E189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M. Romani,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Appunti sull'evoluzione del sindacato,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Edizioni Lavoro, Roma, 1981 (o edizioni successive). </w:t>
      </w:r>
    </w:p>
    <w:p w14:paraId="40275E5F" w14:textId="29E727D4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M. De Luca,</w:t>
      </w:r>
      <w:r w:rsidRPr="00BC4DE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«Nel rispetto dei reciproci ruoli…». Lineamenti di storia della contrattazione collettiva in Italia,</w:t>
      </w: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Vita e Pensiero, Milano, 2013. </w:t>
      </w:r>
    </w:p>
    <w:p w14:paraId="493C245F" w14:textId="273F4F43" w:rsid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Documenti, letture e filmati forniti dal docente su Blackboard.</w:t>
      </w: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</w:p>
    <w:p w14:paraId="42D09707" w14:textId="7F146641" w:rsidR="00BC4DEF" w:rsidRPr="00BC4DEF" w:rsidRDefault="00BC4DEF" w:rsidP="00BC4DEF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>Ai frequentanti saranno fornite indicazioni puntuali sull’uso della bibliografia e dei materiali didattici ai fini della prova d’esame.</w:t>
      </w:r>
    </w:p>
    <w:p w14:paraId="234C3F09" w14:textId="77777777" w:rsidR="00BC4DEF" w:rsidRPr="00BC4DEF" w:rsidRDefault="00BC4DEF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3F1B03AD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Lezioni frontali </w:t>
      </w: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o a distanza mediante Blackboard</w:t>
      </w: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Testimonanze di esperti. Didattica attiva (analisi di testi su supporto cartaceo, documenti multimediali, case study).</w:t>
      </w:r>
    </w:p>
    <w:p w14:paraId="0A68E1A9" w14:textId="77777777" w:rsidR="00BC4DEF" w:rsidRPr="00BC4DEF" w:rsidRDefault="00BC4DEF" w:rsidP="00BC4DEF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BC4DEF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74A5D3C1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20"/>
          <w:lang w:eastAsia="it-IT"/>
        </w:rPr>
        <w:lastRenderedPageBreak/>
        <w:t xml:space="preserve">Esame orale in forma di colloquio. </w:t>
      </w:r>
      <w:r w:rsidRPr="00BC4DEF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L’accertamento</w:t>
      </w: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 xml:space="preserve"> delle conoscenze si sviluppa a tre livelli: conoscenza delle nozioni di base della disciplina e dei fatti storici in sequenza cronologica; capacità di procedere ad analisi comparate tra contesti ed esperienze diversamente collocate nel tempo e nello spazio; piena padronanza delle interconnessioni di causa/effetto dei processi storici e delle categorie interpretative della disciplina.</w:t>
      </w:r>
    </w:p>
    <w:p w14:paraId="18B97845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Al fine della valutazione concorrono dunque: la pertinenza e la chiarezza delle risposte; l’uso appropriato dei concetti e della terminologia propri della disciplina; la padronanza della cronologia di riferimento; lo sviluppo di analisi diacroniche e sincroniche tra fenomeni; i diversi livelli di approfondimento delle argomentazioni. Elemento qualificante della valutazione finale è la padronanza dei nessi interpretativi.</w:t>
      </w:r>
      <w:r w:rsidRPr="00BC4DEF">
        <w:rPr>
          <w:rFonts w:ascii="Times" w:eastAsia="Times New Roman" w:hAnsi="Times" w:cs="Times New Roman"/>
          <w:noProof/>
          <w:sz w:val="18"/>
          <w:szCs w:val="18"/>
          <w:highlight w:val="yellow"/>
          <w:lang w:eastAsia="it-IT"/>
        </w:rPr>
        <w:t xml:space="preserve"> </w:t>
      </w:r>
    </w:p>
    <w:p w14:paraId="1E47AAF0" w14:textId="77777777" w:rsidR="00BC4DEF" w:rsidRPr="00817E08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C4DEF">
        <w:rPr>
          <w:rFonts w:ascii="Times" w:eastAsia="Times New Roman" w:hAnsi="Times" w:cs="Times New Roman"/>
          <w:noProof/>
          <w:sz w:val="18"/>
          <w:szCs w:val="18"/>
          <w:lang w:eastAsia="it-IT"/>
        </w:rPr>
        <w:t>Il voto finale è unico e tiene conto per il 50% delle conoscenze di base (concetti, terminologia</w:t>
      </w:r>
      <w:r w:rsidRPr="00817E08">
        <w:rPr>
          <w:rFonts w:ascii="Times" w:eastAsia="Times New Roman" w:hAnsi="Times" w:cs="Times New Roman"/>
          <w:noProof/>
          <w:sz w:val="18"/>
          <w:szCs w:val="18"/>
          <w:lang w:eastAsia="it-IT"/>
        </w:rPr>
        <w:t>, cronologia), per il 25% delle conoscenze intermedie (primo livello di argomentazione, analisi comparate), per il 25% della piena padronanza della materia (argomentazioni complesse, nessi interpretativi).</w:t>
      </w:r>
    </w:p>
    <w:p w14:paraId="3E7571AF" w14:textId="79394D94" w:rsidR="00BC4DEF" w:rsidRPr="00817E08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817E08">
        <w:rPr>
          <w:rFonts w:ascii="Times" w:eastAsia="Times New Roman" w:hAnsi="Times" w:cs="Times New Roman"/>
          <w:noProof/>
          <w:sz w:val="18"/>
          <w:szCs w:val="20"/>
          <w:lang w:eastAsia="it-IT"/>
        </w:rPr>
        <w:t>L’eventuale partecipazione attiva al lavoro in aula (relazioni di approfondimento, analisi di documenti e di filmati, case study) consente di acquisire una valutazione integrativa del risultato conseguito in sede di verifica finale.</w:t>
      </w:r>
    </w:p>
    <w:p w14:paraId="3A971EC4" w14:textId="77777777" w:rsidR="00BC4DEF" w:rsidRPr="00817E08" w:rsidRDefault="00BC4DEF" w:rsidP="00BC4DEF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 w:rsidRPr="00817E08"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52841706" w14:textId="77777777" w:rsidR="00BC4DEF" w:rsidRPr="00817E08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817E08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Il corso presuppone la conoscenza delle principali vicende della storia contemporanea così come risultano da un buon manuale della scuola media superiore </w:t>
      </w:r>
    </w:p>
    <w:p w14:paraId="30742882" w14:textId="77777777" w:rsidR="00BC4DEF" w:rsidRPr="00BC4DEF" w:rsidRDefault="00BC4DEF" w:rsidP="00BC4DEF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817E08">
        <w:rPr>
          <w:rFonts w:ascii="Times" w:eastAsia="Times New Roman" w:hAnsi="Times" w:cs="Times New Roman"/>
          <w:noProof/>
          <w:sz w:val="18"/>
          <w:szCs w:val="20"/>
          <w:lang w:eastAsia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BC4DEF" w:rsidRPr="00BC4D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F717" w14:textId="77777777" w:rsidR="0074557B" w:rsidRDefault="0074557B" w:rsidP="00BC4DEF">
      <w:pPr>
        <w:spacing w:after="0" w:line="240" w:lineRule="auto"/>
      </w:pPr>
      <w:r>
        <w:separator/>
      </w:r>
    </w:p>
  </w:endnote>
  <w:endnote w:type="continuationSeparator" w:id="0">
    <w:p w14:paraId="2BECEA5B" w14:textId="77777777" w:rsidR="0074557B" w:rsidRDefault="0074557B" w:rsidP="00B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494B" w14:textId="77777777" w:rsidR="0074557B" w:rsidRDefault="0074557B" w:rsidP="00BC4DEF">
      <w:pPr>
        <w:spacing w:after="0" w:line="240" w:lineRule="auto"/>
      </w:pPr>
      <w:r>
        <w:separator/>
      </w:r>
    </w:p>
  </w:footnote>
  <w:footnote w:type="continuationSeparator" w:id="0">
    <w:p w14:paraId="05C8B1B4" w14:textId="77777777" w:rsidR="0074557B" w:rsidRDefault="0074557B" w:rsidP="00BC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C91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A85012"/>
    <w:multiLevelType w:val="hybridMultilevel"/>
    <w:tmpl w:val="2ECCA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B0F"/>
    <w:multiLevelType w:val="hybridMultilevel"/>
    <w:tmpl w:val="BD24A5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29"/>
    <w:rsid w:val="00011914"/>
    <w:rsid w:val="000B70DB"/>
    <w:rsid w:val="000F71B6"/>
    <w:rsid w:val="00100DEC"/>
    <w:rsid w:val="00102468"/>
    <w:rsid w:val="00302AC9"/>
    <w:rsid w:val="00557129"/>
    <w:rsid w:val="0074557B"/>
    <w:rsid w:val="00817E08"/>
    <w:rsid w:val="008A3B7C"/>
    <w:rsid w:val="00980CAB"/>
    <w:rsid w:val="00B81DE5"/>
    <w:rsid w:val="00BC4DEF"/>
    <w:rsid w:val="00CF4046"/>
    <w:rsid w:val="00E3329B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AC3"/>
  <w15:chartTrackingRefBased/>
  <w15:docId w15:val="{30C40964-4980-4116-BCE3-99ED2E14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C4D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Nicola (nicola.martinelli)</dc:creator>
  <cp:keywords/>
  <dc:description/>
  <cp:lastModifiedBy>Grassi Monica Barbara</cp:lastModifiedBy>
  <cp:revision>5</cp:revision>
  <dcterms:created xsi:type="dcterms:W3CDTF">2021-05-18T15:01:00Z</dcterms:created>
  <dcterms:modified xsi:type="dcterms:W3CDTF">2021-05-18T15:02:00Z</dcterms:modified>
</cp:coreProperties>
</file>