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27615" w14:textId="77777777" w:rsidR="000D2FA8" w:rsidRDefault="000D2FA8" w:rsidP="000D2FA8">
      <w:pPr>
        <w:pStyle w:val="Titolo1"/>
      </w:pPr>
      <w:r w:rsidRPr="00BE2653">
        <w:t>Diritto europeo dei contratti</w:t>
      </w:r>
    </w:p>
    <w:p w14:paraId="7E527616" w14:textId="23A6780B" w:rsidR="000D2FA8" w:rsidRDefault="000D2FA8" w:rsidP="000D2FA8">
      <w:pPr>
        <w:pStyle w:val="Titolo2"/>
      </w:pPr>
      <w:r w:rsidRPr="00BE2653">
        <w:t>Prof. Vittorio Bachelet</w:t>
      </w:r>
      <w:r w:rsidR="00BD64B3">
        <w:t>; Prof. Luigi Regazzoni</w:t>
      </w:r>
    </w:p>
    <w:p w14:paraId="7E527617" w14:textId="77777777" w:rsidR="000D2FA8" w:rsidRDefault="000D2FA8" w:rsidP="000D2FA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E527618" w14:textId="77777777" w:rsidR="000D2FA8" w:rsidRPr="000D2FA8" w:rsidRDefault="000D2FA8" w:rsidP="000D2FA8">
      <w:pPr>
        <w:spacing w:line="240" w:lineRule="exact"/>
        <w:rPr>
          <w:rFonts w:ascii="Times" w:hAnsi="Times" w:cs="Times"/>
        </w:rPr>
      </w:pPr>
      <w:r w:rsidRPr="000D2FA8">
        <w:rPr>
          <w:rFonts w:ascii="Times" w:hAnsi="Times" w:cs="Times"/>
        </w:rPr>
        <w:t>Il corso mira a indagare il contenuto delle recenti regole, di diritto dell’Unione europea e di diritto interno, che hanno innovato la disciplina generale del contratto contemplata dal codice civile italiano, con particolare riguardo alla contrattazione tra professionisti e consumatori (</w:t>
      </w:r>
      <w:r w:rsidRPr="000D2FA8">
        <w:rPr>
          <w:rFonts w:ascii="Times" w:hAnsi="Times" w:cs="Times"/>
          <w:i/>
        </w:rPr>
        <w:t>business-to-consumer</w:t>
      </w:r>
      <w:r w:rsidRPr="000D2FA8">
        <w:rPr>
          <w:rFonts w:ascii="Times" w:hAnsi="Times" w:cs="Times"/>
        </w:rPr>
        <w:t>) e alla contrattazione tra imprese (</w:t>
      </w:r>
      <w:r w:rsidRPr="000D2FA8">
        <w:rPr>
          <w:rFonts w:ascii="Times" w:hAnsi="Times" w:cs="Times"/>
          <w:i/>
        </w:rPr>
        <w:t>business-to-business</w:t>
      </w:r>
      <w:r w:rsidRPr="000D2FA8">
        <w:rPr>
          <w:rFonts w:ascii="Times" w:hAnsi="Times" w:cs="Times"/>
        </w:rPr>
        <w:t xml:space="preserve">). A consolidare la conoscenza degli istituti basilari del diritto contrattuale italiano sarà dedicata la prima parte del corso, al termine del quale </w:t>
      </w:r>
      <w:r w:rsidRPr="000D2FA8">
        <w:rPr>
          <w:rFonts w:ascii="Times" w:hAnsi="Times" w:cs="Times"/>
          <w:szCs w:val="20"/>
        </w:rPr>
        <w:t>lo studente sarà dunque</w:t>
      </w:r>
      <w:r>
        <w:rPr>
          <w:rFonts w:ascii="Times" w:hAnsi="Times" w:cs="Times"/>
          <w:szCs w:val="20"/>
        </w:rPr>
        <w:t xml:space="preserve"> in grado di:</w:t>
      </w:r>
    </w:p>
    <w:p w14:paraId="7E527619" w14:textId="77777777" w:rsidR="000D2FA8" w:rsidRPr="000D2FA8" w:rsidRDefault="000D2FA8" w:rsidP="000D2FA8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0D2FA8">
        <w:rPr>
          <w:rFonts w:ascii="Times" w:hAnsi="Times" w:cs="Times"/>
        </w:rPr>
        <w:t xml:space="preserve">conoscere la </w:t>
      </w:r>
      <w:r w:rsidRPr="000D2FA8">
        <w:rPr>
          <w:rFonts w:ascii="Times" w:hAnsi="Times" w:cs="Times"/>
          <w:i/>
        </w:rPr>
        <w:t>ratio</w:t>
      </w:r>
      <w:r w:rsidRPr="000D2FA8">
        <w:rPr>
          <w:rFonts w:ascii="Times" w:hAnsi="Times" w:cs="Times"/>
        </w:rPr>
        <w:t xml:space="preserve"> e il funzionamento dei principali istituti del diritto contrattuale “tra pari” per come sono disciplinati dal codice civile;</w:t>
      </w:r>
    </w:p>
    <w:p w14:paraId="7E52761A" w14:textId="77777777" w:rsidR="000D2FA8" w:rsidRPr="000D2FA8" w:rsidRDefault="000D2FA8" w:rsidP="000D2FA8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0D2FA8">
        <w:rPr>
          <w:rFonts w:ascii="Times" w:hAnsi="Times" w:cs="Times"/>
        </w:rPr>
        <w:t>comprenderne i limiti in relazione alle esigenze di tutela del consumatore e dell’impresa “debole” che sono emerse nel mercato comunitario, giustificando le deroghe imposte dal diritto dell’Unione europea;</w:t>
      </w:r>
    </w:p>
    <w:p w14:paraId="7E52761B" w14:textId="77777777" w:rsidR="000D2FA8" w:rsidRPr="000D2FA8" w:rsidRDefault="000D2FA8" w:rsidP="000D2FA8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0D2FA8">
        <w:rPr>
          <w:rFonts w:ascii="Times" w:hAnsi="Times" w:cs="Times"/>
        </w:rPr>
        <w:t>orientarsi nel variegato panorama del diritto dei contratti risultante da questa pluralità di fonti per saper valutare, con un certo grado di autonomia, a quali rimedi contrattuali i consumatori e le imprese possono ricorrere per ottenere la massima tutela nelle diverse situazioni.</w:t>
      </w:r>
    </w:p>
    <w:p w14:paraId="7E52761C" w14:textId="77777777" w:rsidR="000D2FA8" w:rsidRDefault="000D2FA8" w:rsidP="000D2FA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7E52761D" w14:textId="77777777" w:rsidR="000D2FA8" w:rsidRPr="000D2FA8" w:rsidRDefault="000D2FA8" w:rsidP="000D2FA8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0D2FA8">
        <w:rPr>
          <w:rFonts w:ascii="Times" w:hAnsi="Times" w:cs="Times"/>
        </w:rPr>
        <w:t>Gli istituti del diritto contrattuale generale, tra cui gli elementi essenziali del contratto e la sua conclusione, la responsabilità precontrattuale, l’interpretazione e l’integrazione, la forza di legge del contratto e i recessi, le invalidità contrattuali e i rimedi funzionali.</w:t>
      </w:r>
    </w:p>
    <w:p w14:paraId="7E52761E" w14:textId="77777777" w:rsidR="000D2FA8" w:rsidRPr="000D2FA8" w:rsidRDefault="000D2FA8" w:rsidP="000D2FA8">
      <w:pPr>
        <w:spacing w:line="240" w:lineRule="exact"/>
        <w:ind w:left="284" w:hanging="284"/>
        <w:rPr>
          <w:rFonts w:ascii="Times" w:hAnsi="Times" w:cs="Times"/>
        </w:rPr>
      </w:pPr>
      <w:r w:rsidRPr="000D2FA8">
        <w:rPr>
          <w:rFonts w:ascii="Times" w:hAnsi="Times" w:cs="Times"/>
        </w:rPr>
        <w:t>–</w:t>
      </w:r>
      <w:r w:rsidRPr="000D2FA8">
        <w:rPr>
          <w:rFonts w:ascii="Times" w:hAnsi="Times" w:cs="Times"/>
        </w:rPr>
        <w:tab/>
        <w:t>I nuovi profili della contrattazione tra professionista e consumatore (</w:t>
      </w:r>
      <w:r w:rsidRPr="000D2FA8">
        <w:rPr>
          <w:rFonts w:ascii="Times" w:hAnsi="Times" w:cs="Times"/>
          <w:i/>
        </w:rPr>
        <w:t>b2c</w:t>
      </w:r>
      <w:r w:rsidRPr="000D2FA8">
        <w:rPr>
          <w:rFonts w:ascii="Times" w:hAnsi="Times" w:cs="Times"/>
        </w:rPr>
        <w:t xml:space="preserve">), tra cui gli obblighi di informazione e di pubblicità nella fase di formazione del contratto, la nuova disciplina della “forma” contrattuale di protezione, i contenuti minimi del contratto e i contenuti “negoziali” imposti, il controllo sulle clausole abusive od inique, la correzione del contratto con clausole </w:t>
      </w:r>
      <w:r w:rsidRPr="000D2FA8">
        <w:rPr>
          <w:rFonts w:ascii="Times" w:hAnsi="Times" w:cs="Times"/>
        </w:rPr>
        <w:lastRenderedPageBreak/>
        <w:t>abusive; nullità parziale, integrazione dispositiva, correzione del giudice, contratti a distanza e recessi di protezione, intermediazione finanziaria, credito al consumo, class action a tutela dei consumatori.</w:t>
      </w:r>
    </w:p>
    <w:p w14:paraId="7E52761F" w14:textId="77777777" w:rsidR="000D2FA8" w:rsidRPr="000D2FA8" w:rsidRDefault="000D2FA8" w:rsidP="000D2FA8">
      <w:pPr>
        <w:spacing w:line="240" w:lineRule="exact"/>
        <w:ind w:left="284" w:hanging="284"/>
        <w:rPr>
          <w:rFonts w:ascii="Times" w:hAnsi="Times" w:cs="Times"/>
          <w:color w:val="000000"/>
        </w:rPr>
      </w:pPr>
      <w:r w:rsidRPr="000D2FA8">
        <w:rPr>
          <w:rFonts w:ascii="Times" w:hAnsi="Times" w:cs="Times"/>
          <w:color w:val="000000"/>
        </w:rPr>
        <w:t>–</w:t>
      </w:r>
      <w:r w:rsidRPr="000D2FA8">
        <w:rPr>
          <w:rFonts w:ascii="Times" w:hAnsi="Times" w:cs="Times"/>
          <w:color w:val="000000"/>
        </w:rPr>
        <w:tab/>
        <w:t>I nuovi profili della contrattazione tra imprese (</w:t>
      </w:r>
      <w:r w:rsidRPr="000D2FA8">
        <w:rPr>
          <w:rFonts w:ascii="Times" w:hAnsi="Times" w:cs="Times"/>
          <w:i/>
          <w:color w:val="000000"/>
        </w:rPr>
        <w:t>b2b</w:t>
      </w:r>
      <w:r w:rsidRPr="000D2FA8">
        <w:rPr>
          <w:rFonts w:ascii="Times" w:hAnsi="Times" w:cs="Times"/>
          <w:color w:val="000000"/>
        </w:rPr>
        <w:t xml:space="preserve">), tra cui la disciplina del contratto di franchising, dei rapporti di subfornitura, dell’abuso di dipendenza economica, dei ritardi </w:t>
      </w:r>
      <w:bookmarkStart w:id="0" w:name="_GoBack"/>
      <w:bookmarkEnd w:id="0"/>
      <w:r w:rsidRPr="000D2FA8">
        <w:rPr>
          <w:rFonts w:ascii="Times" w:hAnsi="Times" w:cs="Times"/>
          <w:color w:val="000000"/>
        </w:rPr>
        <w:t>di pagamento nelle transazioni commerciali, con cenni al diritto della concorrenza dell’Unione europea.</w:t>
      </w:r>
    </w:p>
    <w:p w14:paraId="7E527620" w14:textId="77777777" w:rsidR="000D2FA8" w:rsidRDefault="000D2FA8" w:rsidP="00EF15F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7E527621" w14:textId="77777777" w:rsidR="000D2FA8" w:rsidRPr="00B80766" w:rsidRDefault="000D2FA8" w:rsidP="000D2FA8">
      <w:pPr>
        <w:pStyle w:val="Testo1"/>
        <w:spacing w:before="0"/>
        <w:rPr>
          <w:rFonts w:eastAsia="ヒラギノ角ゴ Pro W3"/>
        </w:rPr>
      </w:pPr>
      <w:r w:rsidRPr="00B80766">
        <w:rPr>
          <w:rFonts w:eastAsia="ヒラギノ角ゴ Pro W3"/>
        </w:rPr>
        <w:t>Oltre agli appunti tratti dalle lezioni, lo studente potrà fare riferimento ai seguenti volumi:</w:t>
      </w:r>
    </w:p>
    <w:p w14:paraId="7E527622" w14:textId="77777777" w:rsidR="000D2FA8" w:rsidRPr="00B80766" w:rsidRDefault="000D2FA8" w:rsidP="000D2FA8">
      <w:pPr>
        <w:pStyle w:val="Testo1"/>
        <w:spacing w:before="0"/>
        <w:rPr>
          <w:rFonts w:eastAsia="ヒラギノ角ゴ Pro W3"/>
          <w:spacing w:val="-5"/>
        </w:rPr>
      </w:pPr>
      <w:r w:rsidRPr="00EF15F0">
        <w:rPr>
          <w:rFonts w:eastAsia="ヒラギノ角ゴ Pro W3"/>
          <w:smallCaps/>
          <w:spacing w:val="-5"/>
          <w:sz w:val="16"/>
        </w:rPr>
        <w:t>A. Torrente-P. Schlesinger</w:t>
      </w:r>
      <w:r w:rsidRPr="00B80766">
        <w:rPr>
          <w:rFonts w:eastAsia="ヒラギノ角ゴ Pro W3"/>
          <w:smallCaps/>
          <w:spacing w:val="-5"/>
        </w:rPr>
        <w:t>,</w:t>
      </w:r>
      <w:r w:rsidRPr="00B80766">
        <w:rPr>
          <w:rFonts w:eastAsia="ヒラギノ角ゴ Pro W3"/>
          <w:i/>
          <w:spacing w:val="-5"/>
        </w:rPr>
        <w:t xml:space="preserve"> Manuale di diritto privato,</w:t>
      </w:r>
      <w:r w:rsidRPr="00B80766">
        <w:rPr>
          <w:rFonts w:eastAsia="ヒラギノ角ゴ Pro W3"/>
          <w:spacing w:val="-5"/>
        </w:rPr>
        <w:t xml:space="preserve"> Giuffré, ult. ed. (capp. 25-35; 37-39) per la disciplina </w:t>
      </w:r>
      <w:r w:rsidR="005E0147">
        <w:rPr>
          <w:rFonts w:eastAsia="ヒラギノ角ゴ Pro W3"/>
          <w:spacing w:val="-5"/>
        </w:rPr>
        <w:t>del contratto in generale.</w:t>
      </w:r>
    </w:p>
    <w:p w14:paraId="7E527623" w14:textId="6F1CA959" w:rsidR="000D2FA8" w:rsidRPr="00B80766" w:rsidRDefault="00B94F9B" w:rsidP="000D2FA8">
      <w:pPr>
        <w:pStyle w:val="Testo1"/>
        <w:spacing w:before="0"/>
        <w:rPr>
          <w:rFonts w:eastAsia="ヒラギノ角ゴ Pro W3"/>
          <w:spacing w:val="-5"/>
        </w:rPr>
      </w:pPr>
      <w:r w:rsidRPr="00EF15F0">
        <w:rPr>
          <w:rFonts w:eastAsia="ヒラギノ角ゴ Pro W3"/>
          <w:smallCaps/>
          <w:spacing w:val="-5"/>
          <w:sz w:val="16"/>
        </w:rPr>
        <w:t>A. D’Adda-V. Bachelet</w:t>
      </w:r>
      <w:r w:rsidRPr="00B80766">
        <w:rPr>
          <w:rFonts w:cs="Times"/>
          <w:smallCaps/>
          <w:color w:val="000000"/>
          <w:lang w:eastAsia="zh-CN"/>
        </w:rPr>
        <w:t>,</w:t>
      </w:r>
      <w:r w:rsidRPr="00B80766">
        <w:rPr>
          <w:rFonts w:cs="Times"/>
          <w:color w:val="000000"/>
          <w:lang w:eastAsia="zh-CN"/>
        </w:rPr>
        <w:t xml:space="preserve"> </w:t>
      </w:r>
      <w:r>
        <w:rPr>
          <w:rFonts w:cs="Times"/>
          <w:i/>
          <w:color w:val="000000"/>
          <w:lang w:eastAsia="zh-CN"/>
        </w:rPr>
        <w:t>Lineamenti</w:t>
      </w:r>
      <w:r w:rsidRPr="00B80766">
        <w:rPr>
          <w:rFonts w:cs="Times"/>
          <w:i/>
          <w:color w:val="000000"/>
          <w:lang w:eastAsia="zh-CN"/>
        </w:rPr>
        <w:t xml:space="preserve"> di diritto europeo dei contratti</w:t>
      </w:r>
      <w:r>
        <w:rPr>
          <w:rFonts w:cs="Times"/>
          <w:i/>
          <w:color w:val="000000"/>
          <w:lang w:eastAsia="zh-CN"/>
        </w:rPr>
        <w:t>. Contratti asimmetrici del consumatore e d’impresa</w:t>
      </w:r>
      <w:r w:rsidRPr="00B80766">
        <w:rPr>
          <w:rFonts w:cs="Times"/>
          <w:color w:val="000000"/>
          <w:lang w:eastAsia="zh-CN"/>
        </w:rPr>
        <w:t>, Giappichelli</w:t>
      </w:r>
      <w:r>
        <w:rPr>
          <w:rFonts w:cs="Times"/>
          <w:color w:val="000000"/>
          <w:lang w:eastAsia="zh-CN"/>
        </w:rPr>
        <w:t>, 2020</w:t>
      </w:r>
      <w:r w:rsidRPr="00B80766">
        <w:rPr>
          <w:rFonts w:cs="Times"/>
          <w:color w:val="000000"/>
          <w:lang w:eastAsia="zh-CN"/>
        </w:rPr>
        <w:t>,</w:t>
      </w:r>
      <w:r>
        <w:rPr>
          <w:rFonts w:cs="Times"/>
          <w:color w:val="000000"/>
          <w:lang w:eastAsia="zh-CN"/>
        </w:rPr>
        <w:t xml:space="preserve"> pp. 1-273,</w:t>
      </w:r>
      <w:r w:rsidRPr="00B80766">
        <w:rPr>
          <w:rFonts w:cs="Times"/>
          <w:color w:val="000000"/>
          <w:lang w:eastAsia="zh-CN"/>
        </w:rPr>
        <w:t xml:space="preserve"> per la disciplina dei contratti asimmetrici del consumatore e dell’imp</w:t>
      </w:r>
      <w:r>
        <w:rPr>
          <w:rFonts w:cs="Times"/>
          <w:color w:val="000000"/>
          <w:lang w:eastAsia="zh-CN"/>
        </w:rPr>
        <w:t>r</w:t>
      </w:r>
      <w:r w:rsidRPr="00B80766">
        <w:rPr>
          <w:rFonts w:cs="Times"/>
          <w:color w:val="000000"/>
          <w:lang w:eastAsia="zh-CN"/>
        </w:rPr>
        <w:t>esa.</w:t>
      </w:r>
    </w:p>
    <w:p w14:paraId="7E527624" w14:textId="77777777" w:rsidR="000D2FA8" w:rsidRPr="000D2FA8" w:rsidRDefault="000D2FA8" w:rsidP="000D2FA8">
      <w:pPr>
        <w:pStyle w:val="Testo1"/>
        <w:spacing w:before="0"/>
      </w:pPr>
      <w:r>
        <w:t>Ulteriori m</w:t>
      </w:r>
      <w:r w:rsidRPr="00B80766">
        <w:t xml:space="preserve">ateriali di studio </w:t>
      </w:r>
      <w:r>
        <w:t xml:space="preserve">saranno </w:t>
      </w:r>
      <w:r w:rsidRPr="00B80766">
        <w:t xml:space="preserve">pubblicati nel corso in </w:t>
      </w:r>
      <w:r w:rsidRPr="00B80766">
        <w:rPr>
          <w:i/>
        </w:rPr>
        <w:t>B</w:t>
      </w:r>
      <w:r w:rsidRPr="00B80766">
        <w:rPr>
          <w:i/>
          <w:iCs/>
        </w:rPr>
        <w:t>lackboard</w:t>
      </w:r>
      <w:r w:rsidRPr="00B80766">
        <w:rPr>
          <w:i/>
        </w:rPr>
        <w:t xml:space="preserve"> </w:t>
      </w:r>
      <w:r w:rsidRPr="00B80766">
        <w:t>riservato agli studenti iscritti</w:t>
      </w:r>
      <w:r>
        <w:t xml:space="preserve"> </w:t>
      </w:r>
      <w:r w:rsidRPr="00B80766">
        <w:t>all’insegnamento.</w:t>
      </w:r>
    </w:p>
    <w:p w14:paraId="7E527625" w14:textId="77777777" w:rsidR="000D2FA8" w:rsidRDefault="000D2FA8" w:rsidP="000D2F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E527626" w14:textId="77777777" w:rsidR="000D2FA8" w:rsidRPr="000D2FA8" w:rsidRDefault="000D2FA8" w:rsidP="000D2FA8">
      <w:pPr>
        <w:pStyle w:val="Testo2"/>
      </w:pPr>
      <w:r w:rsidRPr="000D2FA8">
        <w:rPr>
          <w:rFonts w:eastAsia="ヒラギノ角ゴ Pro W3"/>
        </w:rPr>
        <w:t xml:space="preserve">La didattica del corso prevede l’alternanza di lezioni in aula e attività da svolgere online. A distanza è richiesto di seguire le videolezioni caricate su </w:t>
      </w:r>
      <w:r w:rsidRPr="008235B4">
        <w:rPr>
          <w:rFonts w:eastAsia="ヒラギノ角ゴ Pro W3"/>
          <w:i/>
        </w:rPr>
        <w:t>Blackboard</w:t>
      </w:r>
      <w:r w:rsidRPr="000D2FA8">
        <w:rPr>
          <w:rFonts w:eastAsia="ヒラギノ角ゴ Pro W3"/>
        </w:rPr>
        <w:t xml:space="preserve"> che avranno ad oggetto metà degli argomenti oggetto del programma, mentre l’altra metà sarà affrontata in aula. La piattaforma digitale consentirà agli studenti di partecipare anche a seminari interattivi riguardanti lo studio di casi (</w:t>
      </w:r>
      <w:r w:rsidRPr="000D2FA8">
        <w:t>webinar) e a</w:t>
      </w:r>
      <w:r w:rsidRPr="000D2FA8">
        <w:rPr>
          <w:rFonts w:eastAsia="ヒラギノ角ゴ Pro W3"/>
        </w:rPr>
        <w:t xml:space="preserve"> </w:t>
      </w:r>
      <w:r w:rsidRPr="000D2FA8">
        <w:t>momenti di feedback pensati per offrire agli studenti uno spazio in cui discutere con il docente gli argomenti affrontati nelle videolezioni.</w:t>
      </w:r>
    </w:p>
    <w:p w14:paraId="7E527627" w14:textId="77777777" w:rsidR="000D2FA8" w:rsidRDefault="000D2FA8" w:rsidP="000D2F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E527628" w14:textId="2F46BE69" w:rsidR="000D2FA8" w:rsidRPr="00AD0109" w:rsidRDefault="000D2FA8" w:rsidP="000D2FA8">
      <w:pPr>
        <w:pStyle w:val="Testo2"/>
      </w:pPr>
      <w:r>
        <w:t xml:space="preserve">Durante lo svolgimento del corso si svolgeranno </w:t>
      </w:r>
      <w:r w:rsidRPr="00AD0109">
        <w:t>due prove scritte individuali con domande a risposta aperta</w:t>
      </w:r>
      <w:r>
        <w:t xml:space="preserve">: </w:t>
      </w:r>
      <w:r w:rsidRPr="00AD0109">
        <w:t>la prima prova, in aula; la seconda, online</w:t>
      </w:r>
      <w:r>
        <w:t xml:space="preserve">, secondo indicazioni che saranno pubblicate nell’area </w:t>
      </w:r>
      <w:r w:rsidRPr="008235B4">
        <w:rPr>
          <w:i/>
        </w:rPr>
        <w:t>Blackboard</w:t>
      </w:r>
      <w:r>
        <w:t xml:space="preserve"> </w:t>
      </w:r>
      <w:r w:rsidRPr="00AD0109">
        <w:t>riservata agli studenti iscritti al corso</w:t>
      </w:r>
      <w:r>
        <w:t xml:space="preserve">. Per gli studenti </w:t>
      </w:r>
      <w:r w:rsidRPr="00AD0109">
        <w:t xml:space="preserve">che scelgono la valutazione progressiva in itinere, il voto finale </w:t>
      </w:r>
      <w:r>
        <w:t>sarà</w:t>
      </w:r>
      <w:r w:rsidRPr="00AD0109">
        <w:t xml:space="preserve"> determinato per il </w:t>
      </w:r>
      <w:r w:rsidR="00BB249E">
        <w:t>5</w:t>
      </w:r>
      <w:r w:rsidRPr="00AD0109">
        <w:t xml:space="preserve">0% dall’esito di </w:t>
      </w:r>
      <w:r>
        <w:t>tali due</w:t>
      </w:r>
      <w:r w:rsidRPr="00AD0109">
        <w:t xml:space="preserve"> prove scritte; per il </w:t>
      </w:r>
      <w:r w:rsidR="00BB249E">
        <w:t>5</w:t>
      </w:r>
      <w:r w:rsidRPr="00AD0109">
        <w:t xml:space="preserve">0% dall’esito della </w:t>
      </w:r>
      <w:r w:rsidRPr="00AD0109">
        <w:lastRenderedPageBreak/>
        <w:t>prova orale finale, alla quale si accede se è stata conseguita una valutazione positiva nelle prove in itinere.</w:t>
      </w:r>
      <w:r>
        <w:t xml:space="preserve"> </w:t>
      </w:r>
      <w:r w:rsidRPr="00AD0109">
        <w:t>Per superare l’esame, bisogna conseguire una valutazione positiva nell’orale finale in uno dei 3 appelli successivi alla conclusione del corso.</w:t>
      </w:r>
    </w:p>
    <w:p w14:paraId="7E527629" w14:textId="77777777" w:rsidR="000D2FA8" w:rsidRPr="000D2FA8" w:rsidRDefault="000D2FA8" w:rsidP="000D2FA8">
      <w:pPr>
        <w:pStyle w:val="Testo2"/>
      </w:pPr>
      <w:r w:rsidRPr="00A37908">
        <w:t>Per gli studenti che scelgono la valutazione unitaria in sede di appello d’esame, l’esame si articola in una prova orale avente ad oggetto il contenu</w:t>
      </w:r>
      <w:r>
        <w:t>to di tutti i moduli del corso.</w:t>
      </w:r>
    </w:p>
    <w:p w14:paraId="7E52762A" w14:textId="77777777" w:rsidR="000D2FA8" w:rsidRDefault="000D2FA8" w:rsidP="000D2FA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E52762B" w14:textId="77777777" w:rsidR="002D5E17" w:rsidRDefault="000D2FA8" w:rsidP="000D2FA8">
      <w:pPr>
        <w:pStyle w:val="Testo2"/>
        <w:rPr>
          <w:rFonts w:eastAsia="ヒラギノ角ゴ Pro W3"/>
        </w:rPr>
      </w:pPr>
      <w:r w:rsidRPr="000D2FA8">
        <w:rPr>
          <w:rFonts w:eastAsia="ヒラギノ角ゴ Pro W3"/>
        </w:rPr>
        <w:t>Il corso di Diritto europeo dei contratti è aperto a tutti. È tuttavia raccomandato aver sostenuto l’esame di Diritto privato ed avere acquisito una buona conoscenza degli istituti basilari del diritto contrattuale, che verranno ripresi nella prima parte di questo corso.</w:t>
      </w:r>
    </w:p>
    <w:p w14:paraId="7E52762D" w14:textId="566FDAAA" w:rsidR="00FF4997" w:rsidRPr="004A488D" w:rsidRDefault="004A488D" w:rsidP="004A488D">
      <w:pPr>
        <w:spacing w:before="120" w:line="240" w:lineRule="exact"/>
        <w:ind w:left="284"/>
        <w:rPr>
          <w:i/>
          <w:sz w:val="18"/>
        </w:rPr>
      </w:pPr>
      <w:r>
        <w:rPr>
          <w:i/>
          <w:sz w:val="18"/>
        </w:rPr>
        <w:t>O</w:t>
      </w:r>
      <w:r w:rsidRPr="004A488D">
        <w:rPr>
          <w:i/>
          <w:sz w:val="18"/>
        </w:rPr>
        <w:t>rario e luogo di ri</w:t>
      </w:r>
      <w:r>
        <w:rPr>
          <w:i/>
          <w:sz w:val="18"/>
        </w:rPr>
        <w:t>cevimento</w:t>
      </w:r>
    </w:p>
    <w:p w14:paraId="7E52762E" w14:textId="1F27E996" w:rsidR="00FF4997" w:rsidRPr="00FF4997" w:rsidRDefault="00EB5E9C" w:rsidP="00EB5E9C">
      <w:pPr>
        <w:pStyle w:val="Testo2"/>
      </w:pPr>
      <w:r>
        <w:rPr>
          <w:szCs w:val="18"/>
        </w:rPr>
        <w:t xml:space="preserve">I docenti riceveranno gli studenti </w:t>
      </w:r>
      <w:r w:rsidR="00606F35">
        <w:rPr>
          <w:szCs w:val="18"/>
        </w:rPr>
        <w:t xml:space="preserve">in orari che verranno di seguito precisati, eventualmente </w:t>
      </w:r>
      <w:r>
        <w:rPr>
          <w:szCs w:val="18"/>
        </w:rPr>
        <w:t>attr</w:t>
      </w:r>
      <w:r w:rsidR="00606F35">
        <w:rPr>
          <w:szCs w:val="18"/>
        </w:rPr>
        <w:t>averso una piattaforma virtuale</w:t>
      </w:r>
      <w:r>
        <w:rPr>
          <w:szCs w:val="18"/>
        </w:rPr>
        <w:t>.</w:t>
      </w:r>
    </w:p>
    <w:sectPr w:rsidR="00FF4997" w:rsidRPr="00FF499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charset w:val="00"/>
    <w:family w:val="auto"/>
    <w:pitch w:val="variable"/>
    <w:sig w:usb0="00000003" w:usb1="00000000" w:usb2="00000000" w:usb3="00000000" w:csb0="00000007" w:csb1="00000000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D5"/>
    <w:rsid w:val="0006648B"/>
    <w:rsid w:val="000D2FA8"/>
    <w:rsid w:val="001849B9"/>
    <w:rsid w:val="00187B99"/>
    <w:rsid w:val="001F6ABB"/>
    <w:rsid w:val="002014DD"/>
    <w:rsid w:val="002D5E17"/>
    <w:rsid w:val="004A488D"/>
    <w:rsid w:val="004D1217"/>
    <w:rsid w:val="004D6008"/>
    <w:rsid w:val="005E0147"/>
    <w:rsid w:val="00606F35"/>
    <w:rsid w:val="00640794"/>
    <w:rsid w:val="006F1772"/>
    <w:rsid w:val="007757D5"/>
    <w:rsid w:val="008235B4"/>
    <w:rsid w:val="008942E7"/>
    <w:rsid w:val="008A1204"/>
    <w:rsid w:val="00900CCA"/>
    <w:rsid w:val="00924B77"/>
    <w:rsid w:val="00940DA2"/>
    <w:rsid w:val="009E055C"/>
    <w:rsid w:val="00A74F6F"/>
    <w:rsid w:val="00AB42C3"/>
    <w:rsid w:val="00AD7557"/>
    <w:rsid w:val="00B50C5D"/>
    <w:rsid w:val="00B51253"/>
    <w:rsid w:val="00B525CC"/>
    <w:rsid w:val="00B94F9B"/>
    <w:rsid w:val="00BB249E"/>
    <w:rsid w:val="00BD64B3"/>
    <w:rsid w:val="00C94029"/>
    <w:rsid w:val="00D404F2"/>
    <w:rsid w:val="00D42A91"/>
    <w:rsid w:val="00DE35CA"/>
    <w:rsid w:val="00E607E6"/>
    <w:rsid w:val="00EB5E9C"/>
    <w:rsid w:val="00EE1CD8"/>
    <w:rsid w:val="00EF15F0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27615"/>
  <w15:chartTrackingRefBased/>
  <w15:docId w15:val="{922ACF56-57FD-41B7-894A-5417D32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WPNormal">
    <w:name w:val="WP_Normal"/>
    <w:basedOn w:val="Normale"/>
    <w:rsid w:val="000D2FA8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6A72-6F86-4087-94EB-D5D2B4EF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720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2021-05-17T07:51:00Z</dcterms:created>
  <dcterms:modified xsi:type="dcterms:W3CDTF">2021-05-17T07:51:00Z</dcterms:modified>
</cp:coreProperties>
</file>