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A4BF" w14:textId="77777777" w:rsidR="001363EC" w:rsidRDefault="00D6307C" w:rsidP="00D6307C">
      <w:pPr>
        <w:spacing w:before="480"/>
        <w:jc w:val="left"/>
        <w:outlineLvl w:val="0"/>
        <w:rPr>
          <w:b/>
          <w:noProof/>
          <w:szCs w:val="20"/>
        </w:rPr>
      </w:pPr>
      <w:r w:rsidRPr="005D2809">
        <w:rPr>
          <w:b/>
          <w:noProof/>
          <w:szCs w:val="20"/>
        </w:rPr>
        <w:t>Communication management (laurea in Direzione e consulenza aziendale)</w:t>
      </w:r>
    </w:p>
    <w:p w14:paraId="73712919" w14:textId="49AE08F7" w:rsidR="00D6307C" w:rsidRPr="005D2809" w:rsidRDefault="001271DA" w:rsidP="001363EC">
      <w:pPr>
        <w:jc w:val="left"/>
        <w:outlineLvl w:val="0"/>
        <w:rPr>
          <w:b/>
          <w:noProof/>
          <w:szCs w:val="20"/>
        </w:rPr>
      </w:pPr>
      <w:r w:rsidRPr="00D6307C">
        <w:rPr>
          <w:smallCaps/>
          <w:noProof/>
          <w:sz w:val="18"/>
          <w:szCs w:val="18"/>
        </w:rPr>
        <w:t>Prof</w:t>
      </w:r>
      <w:r w:rsidR="00271635" w:rsidRPr="00D6307C">
        <w:rPr>
          <w:smallCaps/>
          <w:noProof/>
          <w:sz w:val="18"/>
          <w:szCs w:val="18"/>
        </w:rPr>
        <w:t xml:space="preserve">. </w:t>
      </w:r>
      <w:r w:rsidR="00271635">
        <w:rPr>
          <w:smallCaps/>
          <w:noProof/>
          <w:sz w:val="18"/>
          <w:szCs w:val="18"/>
        </w:rPr>
        <w:t xml:space="preserve">Stella Romagnoli ; </w:t>
      </w:r>
      <w:r w:rsidR="00DE76AB">
        <w:rPr>
          <w:smallCaps/>
          <w:noProof/>
          <w:sz w:val="18"/>
          <w:szCs w:val="18"/>
        </w:rPr>
        <w:t>Prof</w:t>
      </w:r>
      <w:r w:rsidR="00271635">
        <w:rPr>
          <w:smallCaps/>
          <w:noProof/>
          <w:sz w:val="18"/>
          <w:szCs w:val="18"/>
        </w:rPr>
        <w:t xml:space="preserve">. </w:t>
      </w:r>
      <w:r w:rsidR="00DE76AB" w:rsidRPr="00D6307C">
        <w:rPr>
          <w:smallCaps/>
          <w:noProof/>
          <w:sz w:val="18"/>
          <w:szCs w:val="18"/>
        </w:rPr>
        <w:t>Marco De Angeli</w:t>
      </w:r>
    </w:p>
    <w:p w14:paraId="57428BA2" w14:textId="77777777" w:rsidR="002D5E17" w:rsidRDefault="00D6307C" w:rsidP="00D630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F3A0E4" w14:textId="349AC678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Il corso si propone di fornire una panoramica sulle più recenti tendenze di sviluppo nel campo della comunicazione d’impresa e nello specifico della comunicazione di marca. L’obiettivo è quello di condividere con i partecipanti le conoscenze, le sensibilità e gli strumenti operativi atti a comprendere e realizzare il potenziale della comunicazione integrata a supporto delle imprese e del sostegno delle loro marche nella relazione con i loro consumatori e </w:t>
      </w:r>
      <w:r w:rsidR="00352791">
        <w:rPr>
          <w:rFonts w:ascii="Times New Roman" w:hAnsi="Times New Roman"/>
          <w:sz w:val="20"/>
          <w:lang w:val="it-IT"/>
        </w:rPr>
        <w:t>stakeholder</w:t>
      </w:r>
      <w:r w:rsidRPr="00AE4885">
        <w:rPr>
          <w:rFonts w:ascii="Times New Roman" w:hAnsi="Times New Roman"/>
          <w:sz w:val="20"/>
          <w:lang w:val="it-IT"/>
        </w:rPr>
        <w:t xml:space="preserve">. </w:t>
      </w:r>
    </w:p>
    <w:p w14:paraId="537018E7" w14:textId="77777777" w:rsidR="00485A09" w:rsidRPr="00AE4885" w:rsidRDefault="00485A09" w:rsidP="00485A09">
      <w:pPr>
        <w:pStyle w:val="WPNormal"/>
        <w:spacing w:before="120"/>
        <w:jc w:val="both"/>
        <w:rPr>
          <w:rFonts w:ascii="Times New Roman" w:hAnsi="Times New Roman"/>
          <w:b/>
          <w:bCs/>
          <w:i/>
          <w:sz w:val="20"/>
          <w:lang w:val="it-IT"/>
        </w:rPr>
      </w:pPr>
      <w:r w:rsidRPr="00AE4885">
        <w:rPr>
          <w:rFonts w:ascii="Times New Roman" w:hAnsi="Times New Roman"/>
          <w:b/>
          <w:bCs/>
          <w:i/>
          <w:sz w:val="20"/>
          <w:lang w:val="it-IT"/>
        </w:rPr>
        <w:t>Risultati di Apprendimento attesi</w:t>
      </w:r>
    </w:p>
    <w:p w14:paraId="0E783A1A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Al termine di questo corso lo studente sarà in grado di:</w:t>
      </w:r>
    </w:p>
    <w:p w14:paraId="4B275B1B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Conoscenza e comprensione:</w:t>
      </w:r>
    </w:p>
    <w:p w14:paraId="3FDEF65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Riconoscere criticamente i diversi approcci alla comunicazione adottati dalle aziende.</w:t>
      </w:r>
    </w:p>
    <w:p w14:paraId="679E7300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Comprendere il ruolo della comunicazione aziendale a supporto delle risorse intangibili.</w:t>
      </w:r>
    </w:p>
    <w:p w14:paraId="44AEB4B2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Apprezzare i trend di sviluppo della comunicazione aziendale nella creazione di intense relazioni marca-consumatore.</w:t>
      </w:r>
    </w:p>
    <w:p w14:paraId="7D56E781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Decodificare i flussi informativi degli attori della comunicazione e approfondire struttura e funzionamento di una agenzia di pubblicità internazionale.</w:t>
      </w:r>
    </w:p>
    <w:p w14:paraId="09FC2DB6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Conoscere il </w:t>
      </w:r>
      <w:proofErr w:type="spellStart"/>
      <w:r w:rsidRPr="00AE4885">
        <w:rPr>
          <w:rFonts w:ascii="Times New Roman" w:hAnsi="Times New Roman"/>
          <w:sz w:val="20"/>
          <w:lang w:val="it-IT"/>
        </w:rPr>
        <w:t>workflow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strategico e operativo per la realizzazione di iniziative di comunicazione di marca.</w:t>
      </w:r>
    </w:p>
    <w:p w14:paraId="2A725DAF" w14:textId="77777777" w:rsidR="00485A09" w:rsidRPr="00AE4885" w:rsidRDefault="00485A09" w:rsidP="00485A09">
      <w:pPr>
        <w:pStyle w:val="WPNormal"/>
        <w:numPr>
          <w:ilvl w:val="0"/>
          <w:numId w:val="2"/>
        </w:numPr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Valutare gli aspetti etici e di autodisciplina relativi alla realizzazione di campagne di comunicazione.</w:t>
      </w:r>
    </w:p>
    <w:p w14:paraId="68AED60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bCs/>
          <w:i/>
          <w:sz w:val="20"/>
          <w:lang w:val="it-IT"/>
        </w:rPr>
      </w:pPr>
      <w:r w:rsidRPr="00AE4885">
        <w:rPr>
          <w:rFonts w:ascii="Times New Roman" w:hAnsi="Times New Roman"/>
          <w:bCs/>
          <w:i/>
          <w:sz w:val="20"/>
          <w:lang w:val="it-IT"/>
        </w:rPr>
        <w:t>Capacità di applicare conoscenza e comprensione</w:t>
      </w:r>
    </w:p>
    <w:p w14:paraId="1655F695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 xml:space="preserve">Al termine del corso lo studente sarà in grado di progettare un </w:t>
      </w:r>
      <w:proofErr w:type="spellStart"/>
      <w:r w:rsidRPr="00AE4885">
        <w:rPr>
          <w:rFonts w:ascii="Times New Roman" w:hAnsi="Times New Roman"/>
          <w:sz w:val="20"/>
          <w:lang w:val="it-IT"/>
        </w:rPr>
        <w:t>workflow</w:t>
      </w:r>
      <w:proofErr w:type="spellEnd"/>
      <w:r w:rsidRPr="00AE4885">
        <w:rPr>
          <w:rFonts w:ascii="Times New Roman" w:hAnsi="Times New Roman"/>
          <w:sz w:val="20"/>
          <w:lang w:val="it-IT"/>
        </w:rPr>
        <w:t xml:space="preserve"> strategico e operativo per la realizzazione di iniziative di comunicazione della marca, scegliendo i media più adatti.</w:t>
      </w:r>
    </w:p>
    <w:p w14:paraId="7AE172DD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Sarà inoltre in grado di presentare in forma scritta un progetto di comunicazione e di orientarsi nel mondo lavorativo di un’agenzia di pubblicità o di un’azienda</w:t>
      </w:r>
    </w:p>
    <w:p w14:paraId="36008617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341D8A4" w14:textId="1E76E9E3" w:rsidR="002D62BD" w:rsidRPr="00AE4885" w:rsidRDefault="002D62BD" w:rsidP="002D62BD">
      <w:pPr>
        <w:pStyle w:val="WPNormal"/>
        <w:jc w:val="both"/>
        <w:rPr>
          <w:rFonts w:ascii="Times New Roman" w:hAnsi="Times New Roman"/>
          <w:sz w:val="20"/>
          <w:lang w:val="it-IT"/>
        </w:rPr>
      </w:pPr>
      <w:r w:rsidRPr="00AE4885">
        <w:rPr>
          <w:rFonts w:ascii="Times New Roman" w:hAnsi="Times New Roman"/>
          <w:sz w:val="20"/>
          <w:lang w:val="it-IT"/>
        </w:rPr>
        <w:t>Durante il corso verranno trattati i seguenti argomenti:</w:t>
      </w:r>
    </w:p>
    <w:p w14:paraId="0BFF79B0" w14:textId="77777777" w:rsidR="002D62BD" w:rsidRPr="00271635" w:rsidRDefault="002D62BD" w:rsidP="00271635">
      <w:pPr>
        <w:rPr>
          <w:rFonts w:ascii="Times" w:hAnsi="Times"/>
          <w:i/>
          <w:szCs w:val="18"/>
        </w:rPr>
      </w:pPr>
    </w:p>
    <w:p w14:paraId="0D0EB065" w14:textId="63F4DEC6" w:rsidR="00352791" w:rsidRPr="00271635" w:rsidRDefault="00352791" w:rsidP="00352791">
      <w:pPr>
        <w:rPr>
          <w:rFonts w:ascii="Times" w:hAnsi="Times"/>
          <w:i/>
          <w:szCs w:val="18"/>
        </w:rPr>
      </w:pPr>
      <w:r w:rsidRPr="00271635">
        <w:rPr>
          <w:rFonts w:ascii="Times" w:hAnsi="Times"/>
          <w:smallCaps/>
          <w:sz w:val="18"/>
          <w:szCs w:val="18"/>
        </w:rPr>
        <w:lastRenderedPageBreak/>
        <w:t>Primo Modulo</w:t>
      </w:r>
      <w:r w:rsidRPr="00271635">
        <w:rPr>
          <w:rFonts w:ascii="Times" w:hAnsi="Times"/>
          <w:szCs w:val="18"/>
        </w:rPr>
        <w:t>:</w:t>
      </w:r>
      <w:r w:rsidRPr="00271635">
        <w:rPr>
          <w:rFonts w:ascii="Times" w:hAnsi="Times"/>
          <w:i/>
          <w:szCs w:val="18"/>
        </w:rPr>
        <w:t xml:space="preserve"> </w:t>
      </w:r>
      <w:r w:rsidR="0054542D" w:rsidRPr="00271635">
        <w:rPr>
          <w:rFonts w:ascii="Times" w:hAnsi="Times"/>
          <w:i/>
          <w:szCs w:val="18"/>
        </w:rPr>
        <w:t>Prof</w:t>
      </w:r>
      <w:r w:rsidR="0054542D" w:rsidRPr="0054542D" w:rsidDel="0054542D">
        <w:rPr>
          <w:rFonts w:ascii="Times" w:hAnsi="Times"/>
          <w:i/>
          <w:szCs w:val="18"/>
        </w:rPr>
        <w:t xml:space="preserve"> </w:t>
      </w:r>
      <w:r w:rsidR="0063363B">
        <w:rPr>
          <w:rFonts w:ascii="Times" w:hAnsi="Times"/>
          <w:i/>
          <w:szCs w:val="18"/>
        </w:rPr>
        <w:t>Stella Romagnoli</w:t>
      </w:r>
    </w:p>
    <w:p w14:paraId="79422BEB" w14:textId="77777777" w:rsidR="00B760E3" w:rsidRPr="00271635" w:rsidRDefault="00B760E3" w:rsidP="00352791">
      <w:pPr>
        <w:rPr>
          <w:rFonts w:ascii="Times" w:hAnsi="Times"/>
          <w:i/>
          <w:szCs w:val="18"/>
        </w:rPr>
      </w:pPr>
    </w:p>
    <w:p w14:paraId="05A48F54" w14:textId="77777777" w:rsidR="002D62BD" w:rsidRPr="005D2809" w:rsidRDefault="002D62BD" w:rsidP="002D62BD">
      <w:r w:rsidRPr="005D2809">
        <w:t>1.</w:t>
      </w:r>
      <w:r w:rsidRPr="005D2809">
        <w:tab/>
      </w:r>
      <w:r w:rsidRPr="001363EC">
        <w:rPr>
          <w:i/>
          <w:szCs w:val="20"/>
        </w:rPr>
        <w:t>La comunicazione aziendale in ottica totale integrata</w:t>
      </w:r>
    </w:p>
    <w:p w14:paraId="151B3F04" w14:textId="77777777" w:rsidR="002D62BD" w:rsidRPr="005D2809" w:rsidRDefault="002D62BD" w:rsidP="002D62BD">
      <w:r w:rsidRPr="005D2809">
        <w:t>–</w:t>
      </w:r>
      <w:r w:rsidRPr="005D2809">
        <w:tab/>
        <w:t>L’evoluzione del ruolo della comunicazione nel contesto contemporaneo.</w:t>
      </w:r>
    </w:p>
    <w:p w14:paraId="1D2E215B" w14:textId="77777777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  <w:t>Le aree della comunicazione aziendale: istituzionale, interna, di marca, finanziaria.</w:t>
      </w:r>
    </w:p>
    <w:p w14:paraId="0DC2520A" w14:textId="5149F55B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</w:r>
      <w:r w:rsidR="0063363B">
        <w:t>La comunicazione di crisi</w:t>
      </w:r>
    </w:p>
    <w:p w14:paraId="72D20306" w14:textId="1C33DAB1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2</w:t>
      </w:r>
      <w:r w:rsidR="0063363B">
        <w:rPr>
          <w:i/>
          <w:szCs w:val="20"/>
        </w:rPr>
        <w:t xml:space="preserve">. La marca e il brand building </w:t>
      </w:r>
      <w:proofErr w:type="spellStart"/>
      <w:r w:rsidR="0063363B">
        <w:rPr>
          <w:i/>
          <w:szCs w:val="20"/>
        </w:rPr>
        <w:t>process</w:t>
      </w:r>
      <w:proofErr w:type="spellEnd"/>
    </w:p>
    <w:p w14:paraId="7DCB02A0" w14:textId="0C597C90" w:rsidR="002D62BD" w:rsidRPr="005D2809" w:rsidRDefault="002D62BD" w:rsidP="002D62BD">
      <w:pPr>
        <w:ind w:left="284" w:hanging="284"/>
      </w:pPr>
      <w:r w:rsidRPr="005D2809">
        <w:t>–</w:t>
      </w:r>
      <w:r w:rsidRPr="005D2809">
        <w:tab/>
      </w:r>
      <w:r w:rsidR="0063363B">
        <w:t>La marca: definizioni e teorie</w:t>
      </w:r>
    </w:p>
    <w:p w14:paraId="2D0AB692" w14:textId="600C65FF" w:rsidR="00B760E3" w:rsidRPr="0063363B" w:rsidRDefault="00B760E3" w:rsidP="00271635">
      <w:pPr>
        <w:ind w:left="284" w:hanging="284"/>
      </w:pPr>
      <w:r w:rsidRPr="0063363B">
        <w:t>–</w:t>
      </w:r>
      <w:r w:rsidRPr="0063363B">
        <w:tab/>
      </w:r>
      <w:r w:rsidR="0063363B" w:rsidRPr="00271635">
        <w:t>Il processo di costruzione della marca</w:t>
      </w:r>
      <w:r w:rsidR="002D62BD" w:rsidRPr="0063363B">
        <w:t xml:space="preserve"> </w:t>
      </w:r>
    </w:p>
    <w:p w14:paraId="7030A14B" w14:textId="7BEAFBE7" w:rsidR="002D62BD" w:rsidRDefault="00B760E3">
      <w:pPr>
        <w:ind w:left="284" w:hanging="284"/>
        <w:rPr>
          <w:lang w:val="en-US"/>
        </w:rPr>
      </w:pPr>
      <w:r w:rsidRPr="00271635">
        <w:rPr>
          <w:lang w:val="en-US"/>
        </w:rPr>
        <w:t>–</w:t>
      </w:r>
      <w:r w:rsidRPr="00271635">
        <w:rPr>
          <w:lang w:val="en-US"/>
        </w:rPr>
        <w:tab/>
      </w:r>
      <w:r w:rsidR="0063363B">
        <w:rPr>
          <w:lang w:val="en-US"/>
        </w:rPr>
        <w:t>Il Brand Identification System</w:t>
      </w:r>
    </w:p>
    <w:p w14:paraId="70A4F507" w14:textId="5F7C0780" w:rsidR="0063363B" w:rsidRDefault="0063363B">
      <w:pPr>
        <w:ind w:left="284" w:hanging="284"/>
        <w:rPr>
          <w:lang w:val="en-US"/>
        </w:rPr>
      </w:pPr>
      <w:r w:rsidRPr="00271635">
        <w:rPr>
          <w:lang w:val="en-US"/>
        </w:rPr>
        <w:t>–</w:t>
      </w:r>
      <w:r w:rsidRPr="00271635">
        <w:rPr>
          <w:lang w:val="en-US"/>
        </w:rPr>
        <w:tab/>
      </w:r>
      <w:r>
        <w:rPr>
          <w:lang w:val="en-US"/>
        </w:rPr>
        <w:t>Brand Management</w:t>
      </w:r>
    </w:p>
    <w:p w14:paraId="371013B2" w14:textId="7B62AB0B" w:rsidR="0063363B" w:rsidRPr="00271635" w:rsidRDefault="0063363B" w:rsidP="00271635">
      <w:pPr>
        <w:ind w:left="284" w:hanging="284"/>
      </w:pPr>
      <w:r w:rsidRPr="005D2809">
        <w:t>–</w:t>
      </w:r>
      <w:r w:rsidRPr="005D2809">
        <w:tab/>
      </w:r>
      <w:r>
        <w:t>B</w:t>
      </w:r>
      <w:r w:rsidRPr="00271635">
        <w:t>rand Audit</w:t>
      </w:r>
    </w:p>
    <w:p w14:paraId="14A8AD1D" w14:textId="77777777" w:rsidR="002D62BD" w:rsidRPr="005D2809" w:rsidRDefault="002D62BD" w:rsidP="002D62BD">
      <w:pPr>
        <w:spacing w:before="120"/>
        <w:rPr>
          <w:szCs w:val="20"/>
        </w:rPr>
      </w:pPr>
      <w:r w:rsidRPr="005D2809">
        <w:rPr>
          <w:szCs w:val="20"/>
        </w:rPr>
        <w:t>3.</w:t>
      </w:r>
      <w:r w:rsidRPr="005D2809">
        <w:rPr>
          <w:szCs w:val="20"/>
        </w:rPr>
        <w:tab/>
      </w:r>
      <w:r w:rsidRPr="001363EC">
        <w:rPr>
          <w:i/>
          <w:szCs w:val="20"/>
        </w:rPr>
        <w:t>La comunicazione a sostegno della marca</w:t>
      </w:r>
    </w:p>
    <w:p w14:paraId="2605F68C" w14:textId="19076B5B" w:rsidR="002D62BD" w:rsidRPr="005D2809" w:rsidRDefault="002D62BD" w:rsidP="002D62BD">
      <w:r w:rsidRPr="005D2809">
        <w:t>–</w:t>
      </w:r>
      <w:r w:rsidRPr="005D2809">
        <w:tab/>
      </w:r>
      <w:r w:rsidR="0063363B">
        <w:t>Dal</w:t>
      </w:r>
      <w:r w:rsidRPr="005D2809">
        <w:t xml:space="preserve"> </w:t>
      </w:r>
      <w:r w:rsidR="0063363B">
        <w:t xml:space="preserve">piano di comunicazione </w:t>
      </w:r>
      <w:proofErr w:type="gramStart"/>
      <w:r w:rsidR="0063363B">
        <w:t>alla brand</w:t>
      </w:r>
      <w:proofErr w:type="gramEnd"/>
      <w:r w:rsidR="0063363B">
        <w:t xml:space="preserve"> </w:t>
      </w:r>
      <w:proofErr w:type="spellStart"/>
      <w:r w:rsidR="0063363B">
        <w:t>Choreography</w:t>
      </w:r>
      <w:proofErr w:type="spellEnd"/>
      <w:r w:rsidRPr="005D2809">
        <w:t>.</w:t>
      </w:r>
    </w:p>
    <w:p w14:paraId="4DD01780" w14:textId="540631E5" w:rsidR="002D62BD" w:rsidRPr="00271635" w:rsidRDefault="002D62BD" w:rsidP="002D62BD">
      <w:pPr>
        <w:rPr>
          <w:lang w:val="en-US"/>
        </w:rPr>
      </w:pPr>
      <w:r w:rsidRPr="00271635">
        <w:rPr>
          <w:lang w:val="en-US"/>
        </w:rPr>
        <w:t>–</w:t>
      </w:r>
      <w:r w:rsidRPr="00271635">
        <w:rPr>
          <w:lang w:val="en-US"/>
        </w:rPr>
        <w:tab/>
      </w:r>
      <w:r w:rsidR="0063363B" w:rsidRPr="00271635">
        <w:rPr>
          <w:lang w:val="en-US"/>
        </w:rPr>
        <w:t xml:space="preserve">I media Paid Owned </w:t>
      </w:r>
      <w:proofErr w:type="gramStart"/>
      <w:r w:rsidR="0063363B" w:rsidRPr="00271635">
        <w:rPr>
          <w:lang w:val="en-US"/>
        </w:rPr>
        <w:t>e</w:t>
      </w:r>
      <w:proofErr w:type="gramEnd"/>
      <w:r w:rsidR="0063363B" w:rsidRPr="00271635">
        <w:rPr>
          <w:lang w:val="en-US"/>
        </w:rPr>
        <w:t xml:space="preserve"> Earned</w:t>
      </w:r>
    </w:p>
    <w:p w14:paraId="43225DA5" w14:textId="22B47464" w:rsidR="002D62BD" w:rsidRDefault="002D62BD" w:rsidP="002D62BD">
      <w:pPr>
        <w:ind w:left="284" w:hanging="284"/>
      </w:pPr>
      <w:r w:rsidRPr="005D2809">
        <w:t>–</w:t>
      </w:r>
      <w:r w:rsidRPr="005D2809">
        <w:tab/>
      </w:r>
      <w:r w:rsidR="0063363B">
        <w:t>Pianificare i media a pagamento: i parametri della pianificazione</w:t>
      </w:r>
    </w:p>
    <w:p w14:paraId="217EA29D" w14:textId="33BA593D" w:rsidR="0063363B" w:rsidRPr="005D2809" w:rsidRDefault="0063363B" w:rsidP="002D62BD">
      <w:pPr>
        <w:ind w:left="284" w:hanging="284"/>
      </w:pPr>
      <w:r w:rsidRPr="005D2809">
        <w:t>–</w:t>
      </w:r>
      <w:r w:rsidRPr="005D2809">
        <w:tab/>
      </w:r>
      <w:r>
        <w:t>Il processo di pianificazione ed il piano media</w:t>
      </w:r>
    </w:p>
    <w:p w14:paraId="1B8B1F70" w14:textId="77777777" w:rsidR="002D62BD" w:rsidRPr="00271635" w:rsidRDefault="002D62BD" w:rsidP="00271635">
      <w:pPr>
        <w:rPr>
          <w:rFonts w:ascii="Times" w:hAnsi="Times"/>
          <w:smallCaps/>
          <w:sz w:val="18"/>
          <w:szCs w:val="18"/>
        </w:rPr>
      </w:pPr>
    </w:p>
    <w:p w14:paraId="14EED11B" w14:textId="2BFB0FC8" w:rsidR="002D62BD" w:rsidRDefault="002D62BD">
      <w:pPr>
        <w:rPr>
          <w:rFonts w:ascii="Times" w:hAnsi="Times"/>
          <w:i/>
          <w:iCs/>
          <w:smallCaps/>
          <w:sz w:val="18"/>
          <w:szCs w:val="18"/>
        </w:rPr>
      </w:pPr>
      <w:r w:rsidRPr="00271635">
        <w:rPr>
          <w:rFonts w:ascii="Times" w:hAnsi="Times"/>
          <w:smallCaps/>
          <w:sz w:val="18"/>
          <w:szCs w:val="18"/>
        </w:rPr>
        <w:t xml:space="preserve">Secondo Modulo: </w:t>
      </w:r>
      <w:r w:rsidRPr="00271635">
        <w:rPr>
          <w:i/>
        </w:rPr>
        <w:t>Prof. Marco De Angeli</w:t>
      </w:r>
    </w:p>
    <w:p w14:paraId="59992A72" w14:textId="77777777" w:rsidR="003E1D0C" w:rsidRDefault="003E1D0C">
      <w:pPr>
        <w:rPr>
          <w:rFonts w:ascii="Times" w:hAnsi="Times"/>
          <w:smallCaps/>
          <w:sz w:val="18"/>
          <w:szCs w:val="18"/>
        </w:rPr>
      </w:pPr>
    </w:p>
    <w:p w14:paraId="388CFADD" w14:textId="7943E48F" w:rsidR="001D2D76" w:rsidRDefault="001D2D76" w:rsidP="001D2D76">
      <w:r w:rsidRPr="005D2809">
        <w:t>1.</w:t>
      </w:r>
      <w:r w:rsidRPr="005D2809">
        <w:tab/>
      </w:r>
      <w:r w:rsidRPr="00271635">
        <w:rPr>
          <w:i/>
          <w:iCs/>
        </w:rPr>
        <w:t xml:space="preserve">Contesto, attori ed evoluzione </w:t>
      </w:r>
      <w:proofErr w:type="gramStart"/>
      <w:r w:rsidRPr="00271635">
        <w:rPr>
          <w:i/>
          <w:iCs/>
        </w:rPr>
        <w:t>dell</w:t>
      </w:r>
      <w:r w:rsidR="00C46488">
        <w:rPr>
          <w:i/>
          <w:iCs/>
        </w:rPr>
        <w:t xml:space="preserve">’ </w:t>
      </w:r>
      <w:proofErr w:type="spellStart"/>
      <w:r w:rsidR="00C46488">
        <w:rPr>
          <w:i/>
          <w:iCs/>
        </w:rPr>
        <w:t>international</w:t>
      </w:r>
      <w:proofErr w:type="spellEnd"/>
      <w:proofErr w:type="gramEnd"/>
      <w:r w:rsidR="00C46488">
        <w:rPr>
          <w:i/>
          <w:iCs/>
        </w:rPr>
        <w:t xml:space="preserve"> advertising </w:t>
      </w:r>
      <w:proofErr w:type="spellStart"/>
      <w:r w:rsidR="00C46488">
        <w:rPr>
          <w:i/>
          <w:iCs/>
        </w:rPr>
        <w:t>industry</w:t>
      </w:r>
      <w:proofErr w:type="spellEnd"/>
      <w:r w:rsidR="00C46488">
        <w:rPr>
          <w:i/>
          <w:iCs/>
        </w:rPr>
        <w:t xml:space="preserve"> </w:t>
      </w:r>
      <w:r w:rsidRPr="005D2809">
        <w:t>–</w:t>
      </w:r>
      <w:r w:rsidRPr="005D2809">
        <w:tab/>
      </w:r>
    </w:p>
    <w:p w14:paraId="1A568A72" w14:textId="010985B2" w:rsidR="001D2D76" w:rsidRPr="005D2809" w:rsidRDefault="001D2D76" w:rsidP="00271635">
      <w:pPr>
        <w:ind w:left="284"/>
      </w:pPr>
      <w:r w:rsidRPr="005D2809">
        <w:t>L</w:t>
      </w:r>
      <w:r>
        <w:t>’</w:t>
      </w:r>
      <w:r w:rsidRPr="005D2809">
        <w:t>evoluzione del</w:t>
      </w:r>
      <w:r>
        <w:t>lo scenario</w:t>
      </w:r>
      <w:r w:rsidR="005B5A08">
        <w:t xml:space="preserve"> nel </w:t>
      </w:r>
      <w:r>
        <w:t>post Covid19. Professionisti e tematiche al centro del dibattito</w:t>
      </w:r>
      <w:r w:rsidR="006E5CD4">
        <w:t>.</w:t>
      </w:r>
    </w:p>
    <w:p w14:paraId="06929608" w14:textId="16ED8088" w:rsidR="001D2D76" w:rsidRPr="00AE4885" w:rsidRDefault="001D2D76" w:rsidP="00271635">
      <w:pPr>
        <w:pStyle w:val="WPNormal"/>
        <w:ind w:left="284"/>
        <w:jc w:val="both"/>
        <w:rPr>
          <w:rFonts w:ascii="Times New Roman" w:hAnsi="Times New Roman"/>
          <w:bCs/>
          <w:sz w:val="20"/>
          <w:lang w:val="it-IT"/>
        </w:rPr>
      </w:pPr>
      <w:r>
        <w:rPr>
          <w:rFonts w:ascii="Times New Roman" w:hAnsi="Times New Roman"/>
          <w:bCs/>
          <w:sz w:val="20"/>
          <w:lang w:val="it-IT"/>
        </w:rPr>
        <w:t>Organizzazione di un</w:t>
      </w:r>
      <w:r w:rsidR="005B5A08">
        <w:rPr>
          <w:rFonts w:ascii="Times New Roman" w:hAnsi="Times New Roman"/>
          <w:bCs/>
          <w:sz w:val="20"/>
          <w:lang w:val="it-IT"/>
        </w:rPr>
        <w:t>’</w:t>
      </w:r>
      <w:r w:rsidRPr="00AE4885">
        <w:rPr>
          <w:rFonts w:ascii="Times New Roman" w:hAnsi="Times New Roman"/>
          <w:bCs/>
          <w:sz w:val="20"/>
          <w:lang w:val="it-IT"/>
        </w:rPr>
        <w:t>agenzia</w:t>
      </w:r>
      <w:r w:rsidR="006E5CD4">
        <w:rPr>
          <w:rFonts w:ascii="Times New Roman" w:hAnsi="Times New Roman"/>
          <w:bCs/>
          <w:sz w:val="20"/>
          <w:lang w:val="it-IT"/>
        </w:rPr>
        <w:t xml:space="preserve"> pubblicitaria</w:t>
      </w:r>
      <w:r w:rsidR="005E134E">
        <w:rPr>
          <w:rFonts w:ascii="Times New Roman" w:hAnsi="Times New Roman"/>
          <w:bCs/>
          <w:sz w:val="20"/>
          <w:lang w:val="it-IT"/>
        </w:rPr>
        <w:t>,</w:t>
      </w:r>
      <w:r w:rsidRPr="00AE4885">
        <w:rPr>
          <w:rFonts w:ascii="Times New Roman" w:hAnsi="Times New Roman"/>
          <w:bCs/>
          <w:sz w:val="20"/>
          <w:lang w:val="it-IT"/>
        </w:rPr>
        <w:t xml:space="preserve"> rapporto tra</w:t>
      </w:r>
      <w:r w:rsidR="005E134E">
        <w:rPr>
          <w:rFonts w:ascii="Times New Roman" w:hAnsi="Times New Roman"/>
          <w:bCs/>
          <w:sz w:val="20"/>
          <w:lang w:val="it-IT"/>
        </w:rPr>
        <w:t xml:space="preserve"> </w:t>
      </w:r>
      <w:r w:rsidRPr="00AE4885">
        <w:rPr>
          <w:rFonts w:ascii="Times New Roman" w:hAnsi="Times New Roman"/>
          <w:bCs/>
          <w:sz w:val="20"/>
          <w:lang w:val="it-IT"/>
        </w:rPr>
        <w:t>competenze in azienda ed agenzia</w:t>
      </w:r>
      <w:r w:rsidR="005E134E">
        <w:rPr>
          <w:rFonts w:ascii="Times New Roman" w:hAnsi="Times New Roman"/>
          <w:bCs/>
          <w:sz w:val="20"/>
          <w:lang w:val="it-IT"/>
        </w:rPr>
        <w:t xml:space="preserve"> e gestione di un</w:t>
      </w:r>
      <w:r w:rsidR="005B5A08">
        <w:rPr>
          <w:rFonts w:ascii="Times New Roman" w:hAnsi="Times New Roman"/>
          <w:bCs/>
          <w:sz w:val="20"/>
          <w:lang w:val="it-IT"/>
        </w:rPr>
        <w:t xml:space="preserve"> progetto</w:t>
      </w:r>
      <w:r w:rsidR="005E134E">
        <w:rPr>
          <w:rFonts w:ascii="Times New Roman" w:hAnsi="Times New Roman"/>
          <w:bCs/>
          <w:sz w:val="20"/>
          <w:lang w:val="it-IT"/>
        </w:rPr>
        <w:t xml:space="preserve"> di comunicazione internazionale</w:t>
      </w:r>
      <w:r w:rsidR="006E5CD4">
        <w:rPr>
          <w:rFonts w:ascii="Times New Roman" w:hAnsi="Times New Roman"/>
          <w:bCs/>
          <w:sz w:val="20"/>
          <w:lang w:val="it-IT"/>
        </w:rPr>
        <w:t>.</w:t>
      </w:r>
    </w:p>
    <w:p w14:paraId="6BAF9A07" w14:textId="1216C7A5" w:rsidR="001D2D76" w:rsidRDefault="001D2D76" w:rsidP="001D2D76">
      <w:pPr>
        <w:ind w:left="284" w:hanging="284"/>
      </w:pPr>
      <w:r w:rsidRPr="005D2809">
        <w:t>–</w:t>
      </w:r>
      <w:r w:rsidRPr="005D2809">
        <w:tab/>
      </w:r>
      <w:r w:rsidR="005E134E">
        <w:t>Il flusso di lavoro dal brief del cliente all’output creativo</w:t>
      </w:r>
      <w:r w:rsidRPr="005D2809">
        <w:t>.</w:t>
      </w:r>
    </w:p>
    <w:p w14:paraId="0EF5D14C" w14:textId="77777777" w:rsidR="005E134E" w:rsidRDefault="005E134E" w:rsidP="001D2D76">
      <w:pPr>
        <w:ind w:left="284" w:hanging="284"/>
      </w:pPr>
    </w:p>
    <w:p w14:paraId="67843106" w14:textId="58548DA1" w:rsidR="001D2D76" w:rsidRDefault="001D2D76" w:rsidP="001D2D76">
      <w:pPr>
        <w:ind w:left="284" w:hanging="284"/>
        <w:rPr>
          <w:i/>
          <w:iCs/>
        </w:rPr>
      </w:pPr>
      <w:r>
        <w:t>2.</w:t>
      </w:r>
      <w:r>
        <w:tab/>
      </w:r>
      <w:r w:rsidR="005E134E">
        <w:rPr>
          <w:i/>
          <w:iCs/>
        </w:rPr>
        <w:t>La strategia pubblicitaria</w:t>
      </w:r>
    </w:p>
    <w:p w14:paraId="1AD788C7" w14:textId="0364B793" w:rsidR="005E134E" w:rsidRDefault="005E134E" w:rsidP="005E134E">
      <w:r>
        <w:tab/>
        <w:t>Percorso ed elaborazione delle informazioni per definire una strategia creativa coerente con gli obiettivi di marketing</w:t>
      </w:r>
      <w:r w:rsidR="006E5CD4">
        <w:t>.</w:t>
      </w:r>
    </w:p>
    <w:p w14:paraId="72CC9E0A" w14:textId="2E3797A9" w:rsidR="005E134E" w:rsidRDefault="005E134E" w:rsidP="005E134E">
      <w:r>
        <w:tab/>
        <w:t>Differenze tra app</w:t>
      </w:r>
      <w:r w:rsidR="006E5CD4">
        <w:t>r</w:t>
      </w:r>
      <w:r>
        <w:t>occi mass market e peculiarità della comunicazione dei beni di alto di gamma</w:t>
      </w:r>
      <w:r w:rsidR="006E5CD4">
        <w:t>.</w:t>
      </w:r>
    </w:p>
    <w:p w14:paraId="7189C7DF" w14:textId="633ACEE4" w:rsidR="005E134E" w:rsidRDefault="005E134E" w:rsidP="005E134E">
      <w:pPr>
        <w:rPr>
          <w:bCs/>
        </w:rPr>
      </w:pPr>
      <w:r>
        <w:tab/>
      </w:r>
      <w:r w:rsidRPr="005E134E">
        <w:rPr>
          <w:bCs/>
        </w:rPr>
        <w:t>Gli stili creativi. L’approccio razionale e l’approccio emozionale</w:t>
      </w:r>
      <w:r w:rsidR="006E5CD4">
        <w:rPr>
          <w:bCs/>
        </w:rPr>
        <w:t>.</w:t>
      </w:r>
    </w:p>
    <w:p w14:paraId="5B084145" w14:textId="05FE3AAB" w:rsidR="009E7A28" w:rsidRDefault="009E7A28" w:rsidP="005E134E">
      <w:pPr>
        <w:rPr>
          <w:bCs/>
        </w:rPr>
      </w:pPr>
      <w:r>
        <w:rPr>
          <w:bCs/>
        </w:rPr>
        <w:tab/>
        <w:t>Specificità della comunicazione comparativa in Italia e all’Estero</w:t>
      </w:r>
      <w:r w:rsidR="002402EB">
        <w:rPr>
          <w:bCs/>
        </w:rPr>
        <w:t>.</w:t>
      </w:r>
    </w:p>
    <w:p w14:paraId="300FAB96" w14:textId="77777777" w:rsidR="005E134E" w:rsidRDefault="005E134E" w:rsidP="005E134E"/>
    <w:p w14:paraId="4267F8CB" w14:textId="38258B93" w:rsidR="005E134E" w:rsidRDefault="005E134E" w:rsidP="005E134E">
      <w:pPr>
        <w:ind w:left="284" w:hanging="284"/>
        <w:rPr>
          <w:i/>
          <w:iCs/>
        </w:rPr>
      </w:pPr>
      <w:r>
        <w:t>3.</w:t>
      </w:r>
      <w:r>
        <w:tab/>
      </w:r>
      <w:r>
        <w:rPr>
          <w:i/>
          <w:iCs/>
        </w:rPr>
        <w:t>Deontologia ed etica della comunicazione commerciale</w:t>
      </w:r>
    </w:p>
    <w:p w14:paraId="13685F32" w14:textId="29824783" w:rsidR="009E7A28" w:rsidRDefault="009E7A28" w:rsidP="005E134E">
      <w:pPr>
        <w:ind w:left="284" w:hanging="284"/>
        <w:rPr>
          <w:i/>
          <w:iCs/>
        </w:rPr>
      </w:pPr>
      <w:r>
        <w:tab/>
        <w:t>La tutela del consumatore</w:t>
      </w:r>
      <w:r w:rsidR="006E5CD4">
        <w:t xml:space="preserve"> per</w:t>
      </w:r>
      <w:r>
        <w:t xml:space="preserve"> AGCM, AGCOM e IAP</w:t>
      </w:r>
      <w:r w:rsidR="002402EB">
        <w:t>.</w:t>
      </w:r>
    </w:p>
    <w:p w14:paraId="54DB0C98" w14:textId="051D6FF1" w:rsidR="009E7A28" w:rsidRDefault="009E7A28" w:rsidP="005E134E">
      <w:pPr>
        <w:ind w:left="284" w:hanging="284"/>
      </w:pPr>
      <w:r>
        <w:tab/>
        <w:t>Organi e funzionamento dello IAP</w:t>
      </w:r>
      <w:r w:rsidR="002402EB">
        <w:t>.</w:t>
      </w:r>
    </w:p>
    <w:p w14:paraId="41B73D19" w14:textId="555C1E68" w:rsidR="009E7A28" w:rsidRDefault="009E7A28" w:rsidP="005E134E">
      <w:pPr>
        <w:ind w:left="284" w:hanging="284"/>
        <w:rPr>
          <w:i/>
          <w:iCs/>
        </w:rPr>
      </w:pPr>
      <w:r>
        <w:tab/>
        <w:t>Prevenzione e tutela della creatività</w:t>
      </w:r>
      <w:r w:rsidR="002402EB">
        <w:t>.</w:t>
      </w:r>
    </w:p>
    <w:p w14:paraId="74035F00" w14:textId="77777777" w:rsidR="00D6307C" w:rsidRPr="001363EC" w:rsidRDefault="00D6307C" w:rsidP="001363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0607901" w14:textId="77777777"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 xml:space="preserve">I materiali didattici necessari per la preparazione del corso saranno costituiti da deck di presentazione, articoli, report, saggi, audiovisivi e testimonianze riportati su Blackboard. </w:t>
      </w:r>
    </w:p>
    <w:p w14:paraId="500F004B" w14:textId="77777777" w:rsidR="00882551" w:rsidRPr="00882551" w:rsidRDefault="00882551" w:rsidP="00882551">
      <w:pPr>
        <w:pStyle w:val="WPNormal"/>
        <w:spacing w:before="120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>Oltre a tutti i materiali pubblicati su Blackboard sarà necessario studiare i seguenti libri di testo:</w:t>
      </w:r>
    </w:p>
    <w:p w14:paraId="4BBDF57D" w14:textId="430C951D" w:rsidR="002846F6" w:rsidRPr="00271635" w:rsidRDefault="002846F6" w:rsidP="00F15F8A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71635">
        <w:rPr>
          <w:rFonts w:ascii="Times New Roman" w:hAnsi="Times New Roman"/>
          <w:smallCaps/>
          <w:sz w:val="16"/>
          <w:lang w:val="en-US"/>
        </w:rPr>
        <w:t xml:space="preserve">J. Cornelissen,  </w:t>
      </w:r>
      <w:r w:rsidRPr="00FE65DB">
        <w:rPr>
          <w:i/>
          <w:spacing w:val="-5"/>
          <w:lang w:val="en-US"/>
        </w:rPr>
        <w:t>The new</w:t>
      </w:r>
      <w:r>
        <w:rPr>
          <w:i/>
          <w:spacing w:val="-5"/>
          <w:lang w:val="en-US"/>
        </w:rPr>
        <w:t xml:space="preserve"> Corporate Communication. A guide to theory and practice, Sage Publications, 2020</w:t>
      </w:r>
      <w:r w:rsidR="00F15F8A">
        <w:rPr>
          <w:i/>
          <w:spacing w:val="-5"/>
          <w:lang w:val="en-US"/>
        </w:rPr>
        <w:t xml:space="preserve"> </w:t>
      </w:r>
      <w:r w:rsidR="00F15F8A">
        <w:rPr>
          <w:spacing w:val="-5"/>
          <w:lang w:val="en-US"/>
        </w:rPr>
        <w:t>(part 1, part 2, part 3).</w:t>
      </w:r>
    </w:p>
    <w:p w14:paraId="62024679" w14:textId="18DECD95" w:rsidR="0038749B" w:rsidRPr="00271635" w:rsidRDefault="0038749B" w:rsidP="00271635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  <w:lang w:val="en-US"/>
        </w:rPr>
        <w:t>J.N. Kapferer</w:t>
      </w:r>
      <w:r w:rsidRPr="00FE65DB">
        <w:rPr>
          <w:smallCaps/>
          <w:spacing w:val="-5"/>
          <w:sz w:val="16"/>
          <w:lang w:val="en-US"/>
        </w:rPr>
        <w:t>,</w:t>
      </w:r>
      <w:r w:rsidRPr="00FE65DB">
        <w:rPr>
          <w:i/>
          <w:spacing w:val="-5"/>
          <w:lang w:val="en-US"/>
        </w:rPr>
        <w:t xml:space="preserve"> The new strategic brand management: Advanced insights and strategic thinking,</w:t>
      </w:r>
      <w:r w:rsidRPr="00FE65DB">
        <w:rPr>
          <w:spacing w:val="-5"/>
          <w:lang w:val="en-US"/>
        </w:rPr>
        <w:t xml:space="preserve"> Kogan Page Publishers, 2012. </w:t>
      </w:r>
      <w:r w:rsidRPr="001D2D76">
        <w:rPr>
          <w:spacing w:val="-5"/>
        </w:rPr>
        <w:t>(Introduction, 1, 2, 5, 6, 7).</w:t>
      </w:r>
    </w:p>
    <w:p w14:paraId="731BAE84" w14:textId="79A886E9" w:rsidR="00882551" w:rsidRPr="00882551" w:rsidRDefault="00882551" w:rsidP="00882551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mallCaps/>
          <w:sz w:val="16"/>
          <w:lang w:val="it-IT"/>
        </w:rPr>
        <w:t>Lombardi, M.</w:t>
      </w:r>
      <w:r w:rsidRPr="00882551">
        <w:rPr>
          <w:rFonts w:ascii="Times New Roman" w:hAnsi="Times New Roman"/>
          <w:sz w:val="18"/>
          <w:lang w:val="it-IT"/>
        </w:rPr>
        <w:t xml:space="preserve">, </w:t>
      </w:r>
      <w:proofErr w:type="spellStart"/>
      <w:r w:rsidRPr="00882551">
        <w:rPr>
          <w:rFonts w:ascii="Times New Roman" w:hAnsi="Times New Roman"/>
          <w:sz w:val="18"/>
          <w:lang w:val="it-IT"/>
        </w:rPr>
        <w:t>Mindshare</w:t>
      </w:r>
      <w:proofErr w:type="spellEnd"/>
      <w:r w:rsidRPr="00882551">
        <w:rPr>
          <w:rFonts w:ascii="Times New Roman" w:hAnsi="Times New Roman"/>
          <w:sz w:val="18"/>
          <w:lang w:val="it-IT"/>
        </w:rPr>
        <w:t xml:space="preserve"> (2017), Strategia in pubblicità. Dall’intelligenza, la magia. </w:t>
      </w:r>
      <w:proofErr w:type="spellStart"/>
      <w:r w:rsidRPr="00882551">
        <w:rPr>
          <w:rFonts w:ascii="Times New Roman" w:hAnsi="Times New Roman"/>
          <w:sz w:val="18"/>
          <w:lang w:val="it-IT"/>
        </w:rPr>
        <w:t>FrancoAngeli</w:t>
      </w:r>
      <w:proofErr w:type="spellEnd"/>
      <w:r w:rsidR="00F15F8A">
        <w:rPr>
          <w:rFonts w:ascii="Times New Roman" w:hAnsi="Times New Roman"/>
          <w:sz w:val="18"/>
          <w:lang w:val="it-IT"/>
        </w:rPr>
        <w:t xml:space="preserve"> (Cap 1,2,3,5)</w:t>
      </w:r>
    </w:p>
    <w:p w14:paraId="080303A1" w14:textId="77777777" w:rsidR="00882551" w:rsidRPr="00271635" w:rsidRDefault="00882551" w:rsidP="00882551">
      <w:pPr>
        <w:pStyle w:val="WPNormal"/>
        <w:rPr>
          <w:rFonts w:ascii="Times New Roman" w:hAnsi="Times New Roman"/>
          <w:sz w:val="18"/>
          <w:lang w:val="it-IT"/>
        </w:rPr>
      </w:pPr>
    </w:p>
    <w:p w14:paraId="76AEECC2" w14:textId="77777777" w:rsidR="00882551" w:rsidRPr="00882551" w:rsidRDefault="00882551" w:rsidP="00882551">
      <w:pPr>
        <w:pStyle w:val="WPNormal"/>
        <w:rPr>
          <w:rFonts w:ascii="Times New Roman" w:hAnsi="Times New Roman"/>
          <w:sz w:val="18"/>
          <w:lang w:val="it-IT"/>
        </w:rPr>
      </w:pPr>
      <w:r w:rsidRPr="00882551">
        <w:rPr>
          <w:rFonts w:ascii="Times New Roman" w:hAnsi="Times New Roman"/>
          <w:sz w:val="18"/>
          <w:lang w:val="it-IT"/>
        </w:rPr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FBDD44D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865156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Il corso prevede l’alternanza di lezioni frontali in aula e attività da svolgere online.</w:t>
      </w:r>
    </w:p>
    <w:p w14:paraId="5BEB0F08" w14:textId="77777777" w:rsidR="00485A09" w:rsidRPr="00AE4885" w:rsidRDefault="00485A09" w:rsidP="00485A09">
      <w:pPr>
        <w:pStyle w:val="WPNormal"/>
        <w:ind w:firstLine="284"/>
        <w:jc w:val="both"/>
        <w:outlineLvl w:val="0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A distanza è richiesto di studiare gli argomenti presentati nelle video-lezioni ed il materiale di</w:t>
      </w:r>
      <w:r>
        <w:rPr>
          <w:rFonts w:ascii="Times New Roman" w:hAnsi="Times New Roman"/>
          <w:sz w:val="18"/>
          <w:lang w:val="it-IT"/>
        </w:rPr>
        <w:t xml:space="preserve"> </w:t>
      </w:r>
      <w:r w:rsidRPr="00AE4885">
        <w:rPr>
          <w:rFonts w:ascii="Times New Roman" w:hAnsi="Times New Roman"/>
          <w:sz w:val="18"/>
          <w:lang w:val="it-IT"/>
        </w:rPr>
        <w:t>approfondimento.</w:t>
      </w:r>
    </w:p>
    <w:p w14:paraId="63AC87FC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La partecipazione ai </w:t>
      </w:r>
      <w:proofErr w:type="spellStart"/>
      <w:r w:rsidRPr="00AE4885">
        <w:rPr>
          <w:rFonts w:ascii="Times New Roman" w:hAnsi="Times New Roman"/>
          <w:i/>
          <w:sz w:val="18"/>
          <w:lang w:val="it-IT"/>
        </w:rPr>
        <w:t>webinar</w:t>
      </w:r>
      <w:proofErr w:type="spellEnd"/>
      <w:r w:rsidRPr="00AE4885">
        <w:rPr>
          <w:rFonts w:ascii="Times New Roman" w:hAnsi="Times New Roman"/>
          <w:sz w:val="18"/>
          <w:lang w:val="it-IT"/>
        </w:rPr>
        <w:t xml:space="preserve"> (esercitativi) ed ai </w:t>
      </w:r>
      <w:r w:rsidRPr="00AE4885">
        <w:rPr>
          <w:rFonts w:ascii="Times New Roman" w:hAnsi="Times New Roman"/>
          <w:i/>
          <w:sz w:val="18"/>
          <w:lang w:val="it-IT"/>
        </w:rPr>
        <w:t>feedback</w:t>
      </w:r>
      <w:r w:rsidRPr="00AE4885">
        <w:rPr>
          <w:rFonts w:ascii="Times New Roman" w:hAnsi="Times New Roman"/>
          <w:sz w:val="18"/>
          <w:lang w:val="it-IT"/>
        </w:rPr>
        <w:t xml:space="preserve"> risulta importante ai fini dell’apprendimento.</w:t>
      </w:r>
    </w:p>
    <w:p w14:paraId="6CE9C5D5" w14:textId="77777777" w:rsidR="00485A09" w:rsidRPr="00AE4885" w:rsidRDefault="00485A09" w:rsidP="00485A09">
      <w:pPr>
        <w:pStyle w:val="WPNormal"/>
        <w:ind w:firstLine="284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 xml:space="preserve">Sono previste inoltre testimonianze, discussioni di case </w:t>
      </w:r>
      <w:proofErr w:type="spellStart"/>
      <w:r w:rsidRPr="00AE4885">
        <w:rPr>
          <w:rFonts w:ascii="Times New Roman" w:hAnsi="Times New Roman"/>
          <w:sz w:val="18"/>
          <w:lang w:val="it-IT"/>
        </w:rPr>
        <w:t>study</w:t>
      </w:r>
      <w:proofErr w:type="spellEnd"/>
      <w:r w:rsidRPr="00AE4885">
        <w:rPr>
          <w:rFonts w:ascii="Times New Roman" w:hAnsi="Times New Roman"/>
          <w:sz w:val="18"/>
          <w:lang w:val="it-IT"/>
        </w:rPr>
        <w:t>, attività di gruppo (progetti scritti e presentazioni orali).</w:t>
      </w:r>
    </w:p>
    <w:p w14:paraId="5F575CCF" w14:textId="77777777" w:rsidR="00D6307C" w:rsidRDefault="00D6307C" w:rsidP="00D6307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9068B6" w14:textId="77777777" w:rsidR="00485A09" w:rsidRPr="00AE4885" w:rsidRDefault="00485A09" w:rsidP="00485A09">
      <w:pPr>
        <w:pStyle w:val="Corpotesto"/>
        <w:numPr>
          <w:ilvl w:val="0"/>
          <w:numId w:val="6"/>
        </w:numPr>
        <w:ind w:left="567" w:right="27" w:hanging="207"/>
        <w:jc w:val="both"/>
        <w:rPr>
          <w:i/>
          <w:sz w:val="18"/>
          <w:u w:val="single"/>
          <w:lang w:val="it-IT"/>
        </w:rPr>
      </w:pPr>
      <w:bookmarkStart w:id="0" w:name="_GoBack"/>
      <w:r>
        <w:rPr>
          <w:i/>
          <w:sz w:val="18"/>
          <w:u w:val="single"/>
          <w:lang w:val="it-IT"/>
        </w:rPr>
        <w:t xml:space="preserve">Valutazione </w:t>
      </w:r>
      <w:r w:rsidRPr="00AE4885">
        <w:rPr>
          <w:i/>
          <w:sz w:val="18"/>
          <w:u w:val="single"/>
          <w:lang w:val="it-IT"/>
        </w:rPr>
        <w:t>progressiva in itinere</w:t>
      </w:r>
    </w:p>
    <w:bookmarkEnd w:id="0"/>
    <w:p w14:paraId="000DDD19" w14:textId="77777777" w:rsidR="00485A09" w:rsidRPr="00AE4885" w:rsidRDefault="00485A09" w:rsidP="00485A09">
      <w:pPr>
        <w:pStyle w:val="WPNormal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Gli studenti che aderiscono alla valutazione progressiva in itinere dovranno sostenere due prove in itinere ed una prova finale. In particolare:</w:t>
      </w:r>
    </w:p>
    <w:p w14:paraId="2EE7A66E" w14:textId="36818F71" w:rsidR="00485A09" w:rsidRPr="00AE4885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bCs/>
          <w:sz w:val="18"/>
          <w:lang w:val="it-IT"/>
        </w:rPr>
        <w:t xml:space="preserve">le prove in itinere, che concorrono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si compongono di: (i) una prova scritta di accertamento delle conoscenze relative ai moduli 1 e 2, da svolgersi individualmente in presenza durante la lezione indicata in Blackboard; (ii) un </w:t>
      </w:r>
      <w:proofErr w:type="spellStart"/>
      <w:r w:rsidRPr="00AE4885">
        <w:rPr>
          <w:rFonts w:ascii="Times New Roman" w:hAnsi="Times New Roman"/>
          <w:bCs/>
          <w:sz w:val="18"/>
          <w:lang w:val="it-IT"/>
        </w:rPr>
        <w:t>assignment</w:t>
      </w:r>
      <w:proofErr w:type="spellEnd"/>
      <w:r w:rsidRPr="00AE4885">
        <w:rPr>
          <w:rFonts w:ascii="Times New Roman" w:hAnsi="Times New Roman"/>
          <w:bCs/>
          <w:sz w:val="18"/>
          <w:lang w:val="it-IT"/>
        </w:rPr>
        <w:t xml:space="preserve"> di gruppo relativo all’accertamento di abilità e competenze aventi per oggetto i contenuti dei moduli 3, 4 e 5.</w:t>
      </w:r>
    </w:p>
    <w:p w14:paraId="07E89319" w14:textId="2368B260" w:rsidR="00485A09" w:rsidRDefault="00485A09" w:rsidP="00485A09">
      <w:pPr>
        <w:pStyle w:val="WPNormal"/>
        <w:numPr>
          <w:ilvl w:val="0"/>
          <w:numId w:val="5"/>
        </w:numPr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la p</w:t>
      </w:r>
      <w:r w:rsidRPr="00AE4885">
        <w:rPr>
          <w:rFonts w:ascii="Times New Roman" w:hAnsi="Times New Roman"/>
          <w:bCs/>
          <w:sz w:val="18"/>
          <w:lang w:val="it-IT"/>
        </w:rPr>
        <w:t xml:space="preserve">rova di completamento, che concorre alla determinazione del voto finale con peso </w:t>
      </w:r>
      <w:r w:rsidR="006E5CD4">
        <w:rPr>
          <w:rFonts w:ascii="Times New Roman" w:hAnsi="Times New Roman"/>
          <w:bCs/>
          <w:sz w:val="18"/>
          <w:lang w:val="it-IT"/>
        </w:rPr>
        <w:t>5</w:t>
      </w:r>
      <w:r w:rsidRPr="00AE4885">
        <w:rPr>
          <w:rFonts w:ascii="Times New Roman" w:hAnsi="Times New Roman"/>
          <w:bCs/>
          <w:sz w:val="18"/>
          <w:lang w:val="it-IT"/>
        </w:rPr>
        <w:t xml:space="preserve">0%, è da svolgersi </w:t>
      </w:r>
      <w:r w:rsidRPr="00AE4885">
        <w:rPr>
          <w:rFonts w:ascii="Times New Roman" w:hAnsi="Times New Roman"/>
          <w:sz w:val="18"/>
          <w:lang w:val="it-IT"/>
        </w:rPr>
        <w:t>in forma scritta in corrispondenza di uno dei 3 appelli successivi al semestre di erogazione del corso.</w:t>
      </w:r>
    </w:p>
    <w:p w14:paraId="005FCBA0" w14:textId="77777777" w:rsidR="00485A09" w:rsidRPr="00AE4885" w:rsidRDefault="00485A09" w:rsidP="00485A09">
      <w:pPr>
        <w:pStyle w:val="Corpotesto"/>
        <w:numPr>
          <w:ilvl w:val="0"/>
          <w:numId w:val="6"/>
        </w:numPr>
        <w:ind w:left="720" w:right="27"/>
        <w:jc w:val="both"/>
        <w:rPr>
          <w:i/>
          <w:sz w:val="18"/>
          <w:u w:val="single"/>
          <w:lang w:val="it-IT"/>
        </w:rPr>
      </w:pPr>
      <w:r w:rsidRPr="00AE4885">
        <w:rPr>
          <w:i/>
          <w:sz w:val="18"/>
          <w:u w:val="single"/>
          <w:lang w:val="it-IT"/>
        </w:rPr>
        <w:t>Valutazione unitaria sommativa</w:t>
      </w:r>
    </w:p>
    <w:p w14:paraId="76136CAC" w14:textId="77777777" w:rsidR="00485A09" w:rsidRPr="00AE4885" w:rsidRDefault="00485A09" w:rsidP="00485A09">
      <w:pPr>
        <w:pStyle w:val="WPNormal"/>
        <w:ind w:right="-142"/>
        <w:jc w:val="both"/>
        <w:rPr>
          <w:rFonts w:ascii="Times New Roman" w:hAnsi="Times New Roman"/>
          <w:sz w:val="18"/>
          <w:lang w:val="it-IT"/>
        </w:rPr>
      </w:pPr>
      <w:r w:rsidRPr="00AE4885">
        <w:rPr>
          <w:rFonts w:ascii="Times New Roman" w:hAnsi="Times New Roman"/>
          <w:sz w:val="18"/>
          <w:lang w:val="it-IT"/>
        </w:rPr>
        <w:t>Esame scritto su tutti i contenuti del corso volta a testare conoscenze e competenze acquisite. L’esame si compone di quattro domande teorico-applicative.</w:t>
      </w:r>
    </w:p>
    <w:p w14:paraId="623D017D" w14:textId="77777777" w:rsidR="00D6307C" w:rsidRDefault="00D6307C" w:rsidP="00D6307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6EFC23" w14:textId="77777777" w:rsidR="00D6307C" w:rsidRPr="005D2809" w:rsidRDefault="00D6307C" w:rsidP="00D6307C">
      <w:pPr>
        <w:pStyle w:val="Testo2"/>
      </w:pPr>
      <w:r w:rsidRPr="005D2809">
        <w:t>All’avvio del corso verranno condivise nozioni utili alla familiarizzazione con la disciplina e le prassi della Comunicazione aziendale.</w:t>
      </w:r>
    </w:p>
    <w:p w14:paraId="11CBC1DB" w14:textId="77777777" w:rsidR="00D6307C" w:rsidRPr="005D2809" w:rsidRDefault="00D6307C" w:rsidP="00D6307C">
      <w:pPr>
        <w:pStyle w:val="Testo2"/>
      </w:pPr>
      <w:r w:rsidRPr="005D2809">
        <w:t>Non sono quindi richiesti prerequisiti stringenti, tuttavia conoscenze pregresse di comunicazione o branding possono aiutare nella partecipazione attiva al corso. Sul syllabus sono indicati i testi e le letture preliminari consigliate.</w:t>
      </w:r>
    </w:p>
    <w:p w14:paraId="50D89AB1" w14:textId="77777777" w:rsidR="00D6307C" w:rsidRDefault="00D6307C" w:rsidP="00D6307C">
      <w:pPr>
        <w:pStyle w:val="Testo2"/>
      </w:pPr>
      <w:r w:rsidRPr="005D2809">
        <w:t>È bene inoltre essere a proprio agio con la comprensione della lingua inglese: le pratiche di comunicazione, la sua terminologia specifica così come i casi e la maggioranza delle fonti di ispirazione e riferimento della disciplina sono di respiro globale e quindi in lingua inglese.</w:t>
      </w:r>
    </w:p>
    <w:p w14:paraId="20B3519E" w14:textId="77777777" w:rsidR="00DB32ED" w:rsidRDefault="00DB32ED" w:rsidP="00DB32E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A4EE1A8" w14:textId="77777777" w:rsidR="00DB32ED" w:rsidRPr="005D2809" w:rsidRDefault="00DB32ED" w:rsidP="00D6307C">
      <w:pPr>
        <w:pStyle w:val="Testo2"/>
      </w:pPr>
    </w:p>
    <w:sectPr w:rsidR="00DB32ED" w:rsidRPr="005D28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7EF"/>
    <w:multiLevelType w:val="hybridMultilevel"/>
    <w:tmpl w:val="BDDACB10"/>
    <w:lvl w:ilvl="0" w:tplc="8170179C">
      <w:start w:val="1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CF05F5"/>
    <w:multiLevelType w:val="hybridMultilevel"/>
    <w:tmpl w:val="16AE9AA8"/>
    <w:lvl w:ilvl="0" w:tplc="8170179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329A"/>
    <w:multiLevelType w:val="hybridMultilevel"/>
    <w:tmpl w:val="0AF6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4772"/>
    <w:multiLevelType w:val="hybridMultilevel"/>
    <w:tmpl w:val="2CF6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24A04"/>
    <w:multiLevelType w:val="hybridMultilevel"/>
    <w:tmpl w:val="F1481E60"/>
    <w:lvl w:ilvl="0" w:tplc="1B8AF5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E60BEE"/>
    <w:multiLevelType w:val="hybridMultilevel"/>
    <w:tmpl w:val="C1F20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C"/>
    <w:rsid w:val="00076FB3"/>
    <w:rsid w:val="001271DA"/>
    <w:rsid w:val="001363EC"/>
    <w:rsid w:val="00187B99"/>
    <w:rsid w:val="001D2D76"/>
    <w:rsid w:val="002014DD"/>
    <w:rsid w:val="002402EB"/>
    <w:rsid w:val="00271635"/>
    <w:rsid w:val="002846F6"/>
    <w:rsid w:val="002D5E17"/>
    <w:rsid w:val="002D62BD"/>
    <w:rsid w:val="00352791"/>
    <w:rsid w:val="0038749B"/>
    <w:rsid w:val="003E1D0C"/>
    <w:rsid w:val="00415A81"/>
    <w:rsid w:val="00485A09"/>
    <w:rsid w:val="004D1217"/>
    <w:rsid w:val="004D6008"/>
    <w:rsid w:val="0050573E"/>
    <w:rsid w:val="0054542D"/>
    <w:rsid w:val="00563EDB"/>
    <w:rsid w:val="005B5A08"/>
    <w:rsid w:val="005E134E"/>
    <w:rsid w:val="00604143"/>
    <w:rsid w:val="0063363B"/>
    <w:rsid w:val="00640794"/>
    <w:rsid w:val="006E5CD4"/>
    <w:rsid w:val="006F1772"/>
    <w:rsid w:val="007D0F13"/>
    <w:rsid w:val="00882551"/>
    <w:rsid w:val="008942E7"/>
    <w:rsid w:val="008A1204"/>
    <w:rsid w:val="00900CCA"/>
    <w:rsid w:val="00924B77"/>
    <w:rsid w:val="00940DA2"/>
    <w:rsid w:val="00974C9D"/>
    <w:rsid w:val="009A05FA"/>
    <w:rsid w:val="009D3643"/>
    <w:rsid w:val="009E055C"/>
    <w:rsid w:val="009E7A28"/>
    <w:rsid w:val="00A74F6F"/>
    <w:rsid w:val="00AA73C0"/>
    <w:rsid w:val="00AD7557"/>
    <w:rsid w:val="00B50C5D"/>
    <w:rsid w:val="00B51253"/>
    <w:rsid w:val="00B525CC"/>
    <w:rsid w:val="00B760E3"/>
    <w:rsid w:val="00C46488"/>
    <w:rsid w:val="00D404F2"/>
    <w:rsid w:val="00D6307C"/>
    <w:rsid w:val="00DB32ED"/>
    <w:rsid w:val="00DE76AB"/>
    <w:rsid w:val="00E607E6"/>
    <w:rsid w:val="00F15F8A"/>
    <w:rsid w:val="00F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FC4E2"/>
  <w15:docId w15:val="{33C189A2-2F35-F544-A108-6E46884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07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xmsonormal">
    <w:name w:val="x_msonormal"/>
    <w:basedOn w:val="Normale"/>
    <w:rsid w:val="00D6307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D6307C"/>
  </w:style>
  <w:style w:type="paragraph" w:styleId="Testofumetto">
    <w:name w:val="Balloon Text"/>
    <w:basedOn w:val="Normale"/>
    <w:link w:val="TestofumettoCarattere"/>
    <w:rsid w:val="00D63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307C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485A09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485A09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aliases w:val="bt,body text,BODY TEXT,Block text,Body Text x"/>
    <w:basedOn w:val="Normale"/>
    <w:link w:val="CorpotestoCarattere"/>
    <w:rsid w:val="00485A09"/>
    <w:p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character" w:customStyle="1" w:styleId="CorpotestoCarattere">
    <w:name w:val="Corpo testo Carattere"/>
    <w:aliases w:val="bt Carattere,body text Carattere,BODY TEXT Carattere,Block text Carattere,Body Text x Carattere"/>
    <w:basedOn w:val="Carpredefinitoparagrafo"/>
    <w:link w:val="Corpotesto"/>
    <w:rsid w:val="00485A09"/>
    <w:rPr>
      <w:sz w:val="22"/>
      <w:lang w:val="en-US" w:eastAsia="en-US"/>
    </w:rPr>
  </w:style>
  <w:style w:type="character" w:customStyle="1" w:styleId="Testo2Carattere">
    <w:name w:val="Testo 2 Carattere"/>
    <w:link w:val="Testo2"/>
    <w:rsid w:val="0038749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EFF-5E31-447B-9DE3-2EB4D8A6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21</TotalTime>
  <Pages>4</Pages>
  <Words>994</Words>
  <Characters>5997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10</cp:revision>
  <cp:lastPrinted>2019-05-21T11:34:00Z</cp:lastPrinted>
  <dcterms:created xsi:type="dcterms:W3CDTF">2021-05-10T10:54:00Z</dcterms:created>
  <dcterms:modified xsi:type="dcterms:W3CDTF">2021-05-12T08:02:00Z</dcterms:modified>
</cp:coreProperties>
</file>