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A20B" w14:textId="77777777" w:rsidR="00323CEB" w:rsidRPr="002F52DF" w:rsidRDefault="003957A2">
      <w:pPr>
        <w:pStyle w:val="Titolo1"/>
        <w:rPr>
          <w:lang w:val="en-GB"/>
        </w:rPr>
      </w:pPr>
      <w:r w:rsidRPr="002F52DF">
        <w:rPr>
          <w:lang w:val="en-GB"/>
        </w:rPr>
        <w:t>Operations &amp; Supply Chain</w:t>
      </w:r>
    </w:p>
    <w:p w14:paraId="700136EA" w14:textId="219E62F5" w:rsidR="00323CEB" w:rsidRPr="002F52DF" w:rsidRDefault="006F7447" w:rsidP="00C766AE">
      <w:pPr>
        <w:pStyle w:val="Titolo2"/>
        <w:rPr>
          <w:lang w:val="en-GB"/>
        </w:rPr>
      </w:pP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Daniele Marazzi</w:t>
      </w:r>
      <w:r w:rsidR="003957A2" w:rsidRPr="002F52DF">
        <w:rPr>
          <w:lang w:val="en-GB"/>
        </w:rPr>
        <w:t xml:space="preserve">; </w:t>
      </w:r>
      <w:proofErr w:type="spellStart"/>
      <w:r w:rsidR="003957A2" w:rsidRPr="002F52DF">
        <w:rPr>
          <w:lang w:val="en-GB"/>
        </w:rPr>
        <w:t>Prof.</w:t>
      </w:r>
      <w:proofErr w:type="spellEnd"/>
      <w:r w:rsidR="003957A2" w:rsidRPr="002F52DF">
        <w:rPr>
          <w:lang w:val="en-GB"/>
        </w:rPr>
        <w:t xml:space="preserve"> </w:t>
      </w:r>
      <w:r w:rsidR="00A73065">
        <w:rPr>
          <w:lang w:val="en-GB"/>
        </w:rPr>
        <w:t>Raffaele Esposito</w:t>
      </w:r>
    </w:p>
    <w:p w14:paraId="03211569" w14:textId="77777777" w:rsidR="00004545" w:rsidRPr="002F52DF" w:rsidRDefault="00004545" w:rsidP="00004545">
      <w:pPr>
        <w:spacing w:before="240" w:after="120"/>
        <w:rPr>
          <w:b/>
          <w:i/>
          <w:sz w:val="18"/>
          <w:lang w:val="en-GB"/>
        </w:rPr>
      </w:pPr>
      <w:r w:rsidRPr="002F52DF">
        <w:rPr>
          <w:b/>
          <w:i/>
          <w:sz w:val="18"/>
          <w:lang w:val="en-GB"/>
        </w:rPr>
        <w:t xml:space="preserve">COURSE AIMS AND INTENDED LEARNING OUTCOMES </w:t>
      </w:r>
    </w:p>
    <w:p w14:paraId="19F801F8" w14:textId="7780D799" w:rsidR="00807468" w:rsidRPr="009259A8" w:rsidRDefault="00807468" w:rsidP="00807468">
      <w:pPr>
        <w:rPr>
          <w:strike/>
          <w:color w:val="FF0000"/>
          <w:lang w:val="en-GB"/>
        </w:rPr>
      </w:pPr>
      <w:r w:rsidRPr="002F52DF">
        <w:rPr>
          <w:color w:val="auto"/>
          <w:lang w:val="en-GB"/>
        </w:rPr>
        <w:t xml:space="preserve">This course aims to illustrate how industrial companies should design and </w:t>
      </w:r>
      <w:r w:rsidR="00087733" w:rsidRPr="002F52DF">
        <w:rPr>
          <w:color w:val="auto"/>
          <w:lang w:val="en-GB"/>
        </w:rPr>
        <w:t xml:space="preserve">manage </w:t>
      </w:r>
      <w:r w:rsidR="00087733" w:rsidRPr="00087733">
        <w:rPr>
          <w:color w:val="auto"/>
          <w:lang w:val="en-GB"/>
        </w:rPr>
        <w:t>procurement</w:t>
      </w:r>
      <w:r w:rsidRPr="00087733">
        <w:rPr>
          <w:color w:val="auto"/>
          <w:lang w:val="en-GB"/>
        </w:rPr>
        <w:t xml:space="preserve"> </w:t>
      </w:r>
      <w:r w:rsidRPr="002F52DF">
        <w:rPr>
          <w:color w:val="auto"/>
          <w:lang w:val="en-GB"/>
        </w:rPr>
        <w:t>processes, production planning, inventory management and the physical distribut</w:t>
      </w:r>
      <w:r w:rsidR="00087733">
        <w:rPr>
          <w:color w:val="auto"/>
          <w:lang w:val="en-GB"/>
        </w:rPr>
        <w:t>ion of goods will be illustrated.</w:t>
      </w:r>
    </w:p>
    <w:p w14:paraId="5A7056BE" w14:textId="77777777" w:rsidR="00807468" w:rsidRPr="002F52DF" w:rsidRDefault="00807468" w:rsidP="00807468">
      <w:pPr>
        <w:spacing w:before="120"/>
        <w:rPr>
          <w:color w:val="auto"/>
          <w:lang w:val="en-GB"/>
        </w:rPr>
      </w:pPr>
      <w:r w:rsidRPr="002F52DF">
        <w:rPr>
          <w:color w:val="auto"/>
          <w:lang w:val="en-GB"/>
        </w:rPr>
        <w:t>At the end of the course, students will be able to:</w:t>
      </w:r>
    </w:p>
    <w:p w14:paraId="22BC9416" w14:textId="77777777" w:rsidR="00807468" w:rsidRPr="002F52DF" w:rsidRDefault="00807468" w:rsidP="00807468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rPr>
          <w:lang w:val="en-GB"/>
        </w:rPr>
      </w:pPr>
      <w:r w:rsidRPr="002F52DF">
        <w:rPr>
          <w:lang w:val="en-GB"/>
        </w:rPr>
        <w:t>master the notions and theoretical models of reference needed to understand the functioning of the productive and logistic processes of industrial companies;</w:t>
      </w:r>
    </w:p>
    <w:p w14:paraId="3789DA66" w14:textId="77777777" w:rsidR="00807468" w:rsidRPr="002F52DF" w:rsidRDefault="00807468" w:rsidP="00807468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rPr>
          <w:lang w:val="en-GB"/>
        </w:rPr>
      </w:pPr>
      <w:r w:rsidRPr="002F52DF">
        <w:rPr>
          <w:lang w:val="en-GB"/>
        </w:rPr>
        <w:t>use their acquired knowledge to understand how these processes can contribute to the consolidation and strengthening of the competitive business model, knowing how to propose appropriate improvement actions in a multitude of industrial contexts;</w:t>
      </w:r>
    </w:p>
    <w:p w14:paraId="3E8C3CB1" w14:textId="77777777" w:rsidR="00807468" w:rsidRPr="002F52DF" w:rsidRDefault="00807468" w:rsidP="00807468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rPr>
          <w:lang w:val="en-GB"/>
        </w:rPr>
      </w:pPr>
      <w:r w:rsidRPr="002F52DF">
        <w:rPr>
          <w:lang w:val="en-GB"/>
        </w:rPr>
        <w:t>analyse complex problems inherent to the organisation of the main supply chain management processes, identifying and (where possible) acquiring the relevant information to correctly frame the problem; propose one or more viable solutions for reorganising and improving the purchase, production and physical distribution of goods; and formulate judgments and assessments useful in selecting the solution deemed most suitable and feasible, focusing also on the ethical implications that may emerge in the problem being studied;</w:t>
      </w:r>
    </w:p>
    <w:p w14:paraId="250130A3" w14:textId="77777777" w:rsidR="00807468" w:rsidRPr="002F52DF" w:rsidRDefault="00807468" w:rsidP="00807468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rPr>
          <w:lang w:val="en-GB"/>
        </w:rPr>
      </w:pPr>
      <w:r w:rsidRPr="002F52DF">
        <w:rPr>
          <w:lang w:val="en-GB"/>
        </w:rPr>
        <w:t>clearly display and communicate their assessments to specialist and non-specialist interlocutors, using appropriate terminology and articulating the arguments supporting their positions in a logical and consequential manner;</w:t>
      </w:r>
    </w:p>
    <w:p w14:paraId="39B3AAFE" w14:textId="77777777" w:rsidR="00807468" w:rsidRPr="002F52DF" w:rsidRDefault="00807468" w:rsidP="00807468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rPr>
          <w:lang w:val="en-GB"/>
        </w:rPr>
      </w:pPr>
      <w:r w:rsidRPr="002F52DF">
        <w:rPr>
          <w:lang w:val="en-GB"/>
        </w:rPr>
        <w:t>independently further their studies in Operations and Supply Chain Management, through individual study as well as through professional practice.</w:t>
      </w:r>
    </w:p>
    <w:p w14:paraId="60A7365E" w14:textId="0DC336EA" w:rsidR="00323CEB" w:rsidRPr="002F52DF" w:rsidRDefault="002F52DF">
      <w:pPr>
        <w:spacing w:before="240" w:after="120" w:line="240" w:lineRule="exact"/>
        <w:rPr>
          <w:b/>
          <w:b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09DDA72B" w14:textId="77777777" w:rsidR="00323CEB" w:rsidRPr="002F52DF" w:rsidRDefault="003957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184"/>
        </w:tabs>
        <w:rPr>
          <w:rFonts w:ascii="Times" w:eastAsia="Times" w:hAnsi="Times" w:cs="Times"/>
          <w:lang w:val="en-GB"/>
        </w:rPr>
      </w:pPr>
      <w:r w:rsidRPr="002F52DF">
        <w:rPr>
          <w:rFonts w:ascii="Times" w:hAnsi="Times"/>
          <w:lang w:val="en-GB"/>
        </w:rPr>
        <w:t>The course is divided into the following modules:</w:t>
      </w:r>
    </w:p>
    <w:p w14:paraId="1762C922" w14:textId="77777777" w:rsidR="00323CEB" w:rsidRPr="002F52DF" w:rsidRDefault="003957A2">
      <w:pPr>
        <w:pStyle w:val="Paragrafoelenco"/>
        <w:widowControl w:val="0"/>
        <w:numPr>
          <w:ilvl w:val="0"/>
          <w:numId w:val="2"/>
        </w:numPr>
        <w:rPr>
          <w:rFonts w:ascii="Times" w:eastAsia="Times" w:hAnsi="Times" w:cs="Times"/>
          <w:lang w:val="en-GB"/>
        </w:rPr>
      </w:pPr>
      <w:r w:rsidRPr="002F52DF">
        <w:rPr>
          <w:rFonts w:ascii="Times" w:hAnsi="Times"/>
          <w:lang w:val="en-GB"/>
        </w:rPr>
        <w:t>Operations &amp; Supply Chain Management - Strategies and Performance</w:t>
      </w:r>
    </w:p>
    <w:p w14:paraId="43CACCC8" w14:textId="77777777" w:rsidR="00323CEB" w:rsidRPr="002F52DF" w:rsidRDefault="003957A2">
      <w:pPr>
        <w:pStyle w:val="Paragrafoelenco"/>
        <w:widowControl w:val="0"/>
        <w:numPr>
          <w:ilvl w:val="0"/>
          <w:numId w:val="2"/>
        </w:numPr>
        <w:rPr>
          <w:rFonts w:ascii="Times" w:eastAsia="Times" w:hAnsi="Times" w:cs="Times"/>
          <w:lang w:val="en-GB"/>
        </w:rPr>
      </w:pPr>
      <w:r w:rsidRPr="002F52DF">
        <w:rPr>
          <w:rFonts w:ascii="Times" w:hAnsi="Times"/>
          <w:lang w:val="en-GB"/>
        </w:rPr>
        <w:t>Production scheduling</w:t>
      </w:r>
    </w:p>
    <w:p w14:paraId="561EEDAC" w14:textId="77777777" w:rsidR="00323CEB" w:rsidRPr="002F52DF" w:rsidRDefault="003957A2">
      <w:pPr>
        <w:pStyle w:val="Paragrafoelenco"/>
        <w:widowControl w:val="0"/>
        <w:numPr>
          <w:ilvl w:val="0"/>
          <w:numId w:val="2"/>
        </w:numPr>
        <w:rPr>
          <w:rFonts w:ascii="Times" w:eastAsia="Times" w:hAnsi="Times" w:cs="Times"/>
          <w:lang w:val="en-GB"/>
        </w:rPr>
      </w:pPr>
      <w:r w:rsidRPr="002F52DF">
        <w:rPr>
          <w:rFonts w:ascii="Times" w:hAnsi="Times"/>
          <w:lang w:val="en-GB"/>
        </w:rPr>
        <w:t>Supplies management</w:t>
      </w:r>
    </w:p>
    <w:p w14:paraId="7B90B13A" w14:textId="77777777" w:rsidR="00323CEB" w:rsidRPr="002F52DF" w:rsidRDefault="003957A2">
      <w:pPr>
        <w:pStyle w:val="Paragrafoelenco"/>
        <w:widowControl w:val="0"/>
        <w:numPr>
          <w:ilvl w:val="0"/>
          <w:numId w:val="2"/>
        </w:numPr>
        <w:rPr>
          <w:rFonts w:ascii="Times" w:eastAsia="Times" w:hAnsi="Times" w:cs="Times"/>
          <w:lang w:val="en-GB"/>
        </w:rPr>
      </w:pPr>
      <w:r w:rsidRPr="002F52DF">
        <w:rPr>
          <w:rFonts w:ascii="Times" w:hAnsi="Times"/>
          <w:lang w:val="en-GB"/>
        </w:rPr>
        <w:t>Stock management</w:t>
      </w:r>
    </w:p>
    <w:p w14:paraId="78EC04CA" w14:textId="77777777" w:rsidR="00323CEB" w:rsidRPr="002F52DF" w:rsidRDefault="003957A2">
      <w:pPr>
        <w:pStyle w:val="Paragrafoelenco"/>
        <w:widowControl w:val="0"/>
        <w:numPr>
          <w:ilvl w:val="0"/>
          <w:numId w:val="2"/>
        </w:numPr>
        <w:rPr>
          <w:rFonts w:ascii="Times" w:eastAsia="Times" w:hAnsi="Times" w:cs="Times"/>
          <w:lang w:val="en-GB"/>
        </w:rPr>
      </w:pPr>
      <w:r w:rsidRPr="002F52DF">
        <w:rPr>
          <w:rFonts w:ascii="Times" w:hAnsi="Times"/>
          <w:lang w:val="en-GB"/>
        </w:rPr>
        <w:t>Distribution Logistics</w:t>
      </w:r>
    </w:p>
    <w:p w14:paraId="1180AA01" w14:textId="77777777" w:rsidR="00323CEB" w:rsidRPr="002F52DF" w:rsidRDefault="003957A2">
      <w:pPr>
        <w:pStyle w:val="Paragrafoelenco"/>
        <w:widowControl w:val="0"/>
        <w:numPr>
          <w:ilvl w:val="0"/>
          <w:numId w:val="2"/>
        </w:numPr>
        <w:rPr>
          <w:rFonts w:ascii="Times" w:eastAsia="Times" w:hAnsi="Times" w:cs="Times"/>
          <w:lang w:val="en-GB"/>
        </w:rPr>
      </w:pPr>
      <w:r w:rsidRPr="002F52DF">
        <w:rPr>
          <w:rFonts w:ascii="Times" w:hAnsi="Times"/>
          <w:lang w:val="en-GB"/>
        </w:rPr>
        <w:t>Logistics Outsourcing</w:t>
      </w:r>
    </w:p>
    <w:p w14:paraId="10069C24" w14:textId="77777777" w:rsidR="00323CEB" w:rsidRPr="002F52DF" w:rsidRDefault="003957A2" w:rsidP="00004545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2F52DF">
        <w:rPr>
          <w:b/>
          <w:bCs/>
          <w:i/>
          <w:iCs/>
          <w:sz w:val="18"/>
          <w:szCs w:val="18"/>
          <w:lang w:val="en-GB"/>
        </w:rPr>
        <w:t>READING LIST</w:t>
      </w:r>
    </w:p>
    <w:p w14:paraId="7D954B3E" w14:textId="76B0BA7E" w:rsidR="00323CEB" w:rsidRDefault="003957A2">
      <w:pPr>
        <w:pStyle w:val="Testo1"/>
        <w:rPr>
          <w:lang w:val="en-GB"/>
        </w:rPr>
      </w:pPr>
      <w:r w:rsidRPr="002F52DF">
        <w:rPr>
          <w:lang w:val="en-GB"/>
        </w:rPr>
        <w:t>All teaching materials (slides, cases, exercises) uploaded to Blackboard will be considered compulsory.</w:t>
      </w:r>
    </w:p>
    <w:p w14:paraId="207D985D" w14:textId="3D4DD035" w:rsidR="009259A8" w:rsidRPr="00087733" w:rsidRDefault="00087733" w:rsidP="009259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before="120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087733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lastRenderedPageBreak/>
        <w:t>Students interested in further insights can purchase the following course pack</w:t>
      </w:r>
      <w:r w:rsidR="009259A8" w:rsidRPr="00087733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:</w:t>
      </w:r>
    </w:p>
    <w:p w14:paraId="0D4AED8C" w14:textId="1EB9114C" w:rsidR="009259A8" w:rsidRPr="00087733" w:rsidRDefault="00087733" w:rsidP="009259A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 w:cs="Times New Roman"/>
          <w:color w:val="auto"/>
          <w:sz w:val="18"/>
          <w:szCs w:val="24"/>
          <w:bdr w:val="none" w:sz="0" w:space="0" w:color="auto"/>
          <w:lang w:val="en-GB"/>
        </w:rPr>
      </w:pPr>
      <w:r w:rsidRPr="00087733">
        <w:rPr>
          <w:rFonts w:eastAsia="Times New Roman" w:cs="Times New Roman"/>
          <w:smallCaps/>
          <w:color w:val="auto"/>
          <w:sz w:val="16"/>
          <w:szCs w:val="24"/>
          <w:bdr w:val="none" w:sz="0" w:space="0" w:color="auto"/>
          <w:lang w:val="en-GB"/>
        </w:rPr>
        <w:t xml:space="preserve">A. </w:t>
      </w:r>
      <w:proofErr w:type="spellStart"/>
      <w:r w:rsidRPr="00087733">
        <w:rPr>
          <w:rFonts w:eastAsia="Times New Roman" w:cs="Times New Roman"/>
          <w:smallCaps/>
          <w:color w:val="auto"/>
          <w:sz w:val="16"/>
          <w:szCs w:val="24"/>
          <w:bdr w:val="none" w:sz="0" w:space="0" w:color="auto"/>
          <w:lang w:val="en-GB"/>
        </w:rPr>
        <w:t>Grando</w:t>
      </w:r>
      <w:proofErr w:type="spellEnd"/>
      <w:r w:rsidR="009259A8" w:rsidRPr="00087733">
        <w:rPr>
          <w:rFonts w:eastAsia="Times New Roman" w:cs="Times New Roman"/>
          <w:color w:val="auto"/>
          <w:sz w:val="18"/>
          <w:szCs w:val="24"/>
          <w:bdr w:val="none" w:sz="0" w:space="0" w:color="auto"/>
          <w:lang w:val="en-GB"/>
        </w:rPr>
        <w:t xml:space="preserve">, </w:t>
      </w:r>
      <w:r w:rsidR="009259A8" w:rsidRPr="00087733">
        <w:rPr>
          <w:rFonts w:eastAsia="Times New Roman" w:cs="Times New Roman"/>
          <w:i/>
          <w:color w:val="auto"/>
          <w:sz w:val="18"/>
          <w:szCs w:val="24"/>
          <w:bdr w:val="none" w:sz="0" w:space="0" w:color="auto"/>
          <w:lang w:val="en-GB"/>
        </w:rPr>
        <w:t>Operations and Supply Chain</w:t>
      </w:r>
      <w:r w:rsidR="006F7447">
        <w:rPr>
          <w:rFonts w:eastAsia="Times New Roman" w:cs="Times New Roman"/>
          <w:color w:val="auto"/>
          <w:sz w:val="18"/>
          <w:szCs w:val="24"/>
          <w:bdr w:val="none" w:sz="0" w:space="0" w:color="auto"/>
          <w:lang w:val="en-GB"/>
        </w:rPr>
        <w:t>, EGEA, Milano, 2021</w:t>
      </w:r>
      <w:r w:rsidR="009259A8" w:rsidRPr="00087733">
        <w:rPr>
          <w:rFonts w:eastAsia="Times New Roman" w:cs="Times New Roman"/>
          <w:color w:val="auto"/>
          <w:sz w:val="18"/>
          <w:szCs w:val="24"/>
          <w:bdr w:val="none" w:sz="0" w:space="0" w:color="auto"/>
          <w:lang w:val="en-GB"/>
        </w:rPr>
        <w:t>.</w:t>
      </w:r>
    </w:p>
    <w:p w14:paraId="74EF6EE1" w14:textId="1C09F188" w:rsidR="009259A8" w:rsidRPr="00087733" w:rsidRDefault="00087733" w:rsidP="009259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before="120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087733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The additional contents of the course will not be asked during the exam.</w:t>
      </w:r>
    </w:p>
    <w:p w14:paraId="63747F9C" w14:textId="77777777" w:rsidR="00323CEB" w:rsidRPr="002F52DF" w:rsidRDefault="003957A2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2F52DF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533E4E3A" w14:textId="3D821A88" w:rsidR="00807468" w:rsidRPr="009259A8" w:rsidRDefault="003957A2" w:rsidP="00807468">
      <w:pPr>
        <w:pStyle w:val="Testo2"/>
        <w:spacing w:before="120"/>
        <w:rPr>
          <w:strike/>
          <w:color w:val="FF0000"/>
          <w:lang w:val="en-GB"/>
        </w:rPr>
      </w:pPr>
      <w:r w:rsidRPr="002F52DF">
        <w:rPr>
          <w:lang w:val="en-GB"/>
        </w:rPr>
        <w:t xml:space="preserve">This blended course includes face-to-face activities (50%) and distance activities (50%). </w:t>
      </w:r>
      <w:r w:rsidR="00807468" w:rsidRPr="002F52DF">
        <w:rPr>
          <w:lang w:val="en-GB"/>
        </w:rPr>
        <w:t>The on-site activities are based on interactive lectures for the theoretical contents, and on the discussion of complex cases. Off-site activities include the provision of video-lectures (asynchronous) and the intensive use of tutorials and short case studies discussed via webinars and</w:t>
      </w:r>
      <w:r w:rsidR="00087733">
        <w:rPr>
          <w:lang w:val="en-GB"/>
        </w:rPr>
        <w:t xml:space="preserve"> live feed-backs (synchronous).</w:t>
      </w:r>
    </w:p>
    <w:p w14:paraId="3AA9A736" w14:textId="513E0478" w:rsidR="00004545" w:rsidRPr="002F52DF" w:rsidRDefault="00004545" w:rsidP="002F52DF">
      <w:pPr>
        <w:pStyle w:val="Testo2"/>
        <w:spacing w:before="240" w:after="120"/>
        <w:ind w:firstLine="0"/>
        <w:rPr>
          <w:b/>
          <w:bCs/>
          <w:i/>
          <w:iCs/>
          <w:lang w:val="en-GB"/>
        </w:rPr>
      </w:pPr>
      <w:r w:rsidRPr="002F52DF">
        <w:rPr>
          <w:b/>
          <w:bCs/>
          <w:i/>
          <w:iCs/>
          <w:lang w:val="en-GB"/>
        </w:rPr>
        <w:t>ASSESSMENT METHOD AND CRITERIA</w:t>
      </w:r>
    </w:p>
    <w:p w14:paraId="5DF62EC7" w14:textId="77777777" w:rsidR="00807468" w:rsidRPr="002F52DF" w:rsidRDefault="00807468" w:rsidP="00807468">
      <w:pPr>
        <w:pStyle w:val="Testo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rPr>
          <w:i/>
          <w:lang w:val="en-GB"/>
        </w:rPr>
      </w:pPr>
      <w:r w:rsidRPr="002F52DF">
        <w:rPr>
          <w:i/>
          <w:lang w:val="en-GB"/>
        </w:rPr>
        <w:t>Progressive ongoing assessment</w:t>
      </w:r>
    </w:p>
    <w:p w14:paraId="78FBEA94" w14:textId="3996C4F8" w:rsidR="009259A8" w:rsidRPr="00A73065" w:rsidRDefault="00807468" w:rsidP="009259A8">
      <w:pPr>
        <w:pStyle w:val="Testo2"/>
        <w:ind w:firstLine="142"/>
        <w:rPr>
          <w:rFonts w:eastAsia="Times New Roman" w:cs="Times New Roman"/>
          <w:noProof/>
          <w:color w:val="auto"/>
          <w:szCs w:val="20"/>
          <w:bdr w:val="none" w:sz="0" w:space="0" w:color="auto"/>
        </w:rPr>
      </w:pPr>
      <w:r w:rsidRPr="002F52DF">
        <w:rPr>
          <w:lang w:val="en-GB"/>
        </w:rPr>
        <w:t>For students who opt for a progressive ongoing as</w:t>
      </w:r>
      <w:r w:rsidR="006F7447">
        <w:rPr>
          <w:lang w:val="en-GB"/>
        </w:rPr>
        <w:t>sessment, it is expected that: 5</w:t>
      </w:r>
      <w:r w:rsidRPr="002F52DF">
        <w:rPr>
          <w:lang w:val="en-GB"/>
        </w:rPr>
        <w:t>0% of the assessment will be carried out through two tests (a test in class and a group assignment administered during the course), the contents and timing of which will be published on the Blackboard area reserved for st</w:t>
      </w:r>
      <w:r w:rsidR="006F7447">
        <w:rPr>
          <w:lang w:val="en-GB"/>
        </w:rPr>
        <w:t>udents enrolled in the course; 5</w:t>
      </w:r>
      <w:r w:rsidRPr="002F52DF">
        <w:rPr>
          <w:lang w:val="en-GB"/>
        </w:rPr>
        <w:t>0% of the assessment will be carried out through a final written exam</w:t>
      </w:r>
      <w:r w:rsidR="009259A8">
        <w:rPr>
          <w:lang w:val="en-GB"/>
        </w:rPr>
        <w:t xml:space="preserve"> </w:t>
      </w:r>
      <w:r w:rsidR="00087733">
        <w:rPr>
          <w:lang w:val="en-GB"/>
        </w:rPr>
        <w:t xml:space="preserve">consisting on </w:t>
      </w:r>
      <w:bookmarkStart w:id="0" w:name="_GoBack"/>
      <w:bookmarkEnd w:id="0"/>
      <w:r w:rsidR="00087733">
        <w:rPr>
          <w:lang w:val="en-GB"/>
        </w:rPr>
        <w:t>theoretical questions and mini-cases. The final written test</w:t>
      </w:r>
      <w:r w:rsidR="00125E87">
        <w:rPr>
          <w:lang w:val="en-GB"/>
        </w:rPr>
        <w:t xml:space="preserve"> may be carried out</w:t>
      </w:r>
      <w:r w:rsidR="00087733">
        <w:rPr>
          <w:lang w:val="en-GB"/>
        </w:rPr>
        <w:t xml:space="preserve"> in only one of the three exam sessions following the end of the course.</w:t>
      </w:r>
      <w:r w:rsidRPr="002F52DF">
        <w:rPr>
          <w:lang w:val="en-GB"/>
        </w:rPr>
        <w:t xml:space="preserve"> </w:t>
      </w:r>
    </w:p>
    <w:p w14:paraId="2920AF97" w14:textId="77777777" w:rsidR="00807468" w:rsidRPr="002F52DF" w:rsidRDefault="00807468" w:rsidP="00807468">
      <w:pPr>
        <w:pStyle w:val="Testo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before="120"/>
        <w:ind w:left="641" w:hanging="357"/>
        <w:rPr>
          <w:i/>
          <w:lang w:val="en-GB"/>
        </w:rPr>
      </w:pPr>
      <w:r w:rsidRPr="002F52DF">
        <w:rPr>
          <w:i/>
          <w:lang w:val="en-GB"/>
        </w:rPr>
        <w:t>Summative single assessment</w:t>
      </w:r>
    </w:p>
    <w:p w14:paraId="65FD0E4B" w14:textId="77777777" w:rsidR="00807468" w:rsidRPr="002F52DF" w:rsidRDefault="00807468" w:rsidP="00807468">
      <w:pPr>
        <w:pStyle w:val="Testo2"/>
        <w:ind w:firstLine="142"/>
        <w:rPr>
          <w:lang w:val="en-GB"/>
        </w:rPr>
      </w:pPr>
      <w:r w:rsidRPr="002F52DF">
        <w:rPr>
          <w:lang w:val="en-GB"/>
        </w:rPr>
        <w:t>For students who wish to opt for a single assessment during the exam session, this will consist of a written exam comprising two theoretical questions and two mini-cases.</w:t>
      </w:r>
    </w:p>
    <w:p w14:paraId="74AEB54E" w14:textId="77777777" w:rsidR="00004545" w:rsidRPr="002F52DF" w:rsidRDefault="00004545" w:rsidP="00004545">
      <w:pPr>
        <w:spacing w:before="240" w:after="120"/>
        <w:rPr>
          <w:b/>
          <w:i/>
          <w:sz w:val="18"/>
          <w:lang w:val="en-GB"/>
        </w:rPr>
      </w:pPr>
      <w:r w:rsidRPr="002F52DF">
        <w:rPr>
          <w:b/>
          <w:i/>
          <w:sz w:val="18"/>
          <w:lang w:val="en-GB"/>
        </w:rPr>
        <w:t>NOTES AND PREREQUISITES</w:t>
      </w:r>
    </w:p>
    <w:p w14:paraId="4BC4CD94" w14:textId="77777777" w:rsidR="00004545" w:rsidRPr="002F52DF" w:rsidRDefault="00004545" w:rsidP="00004545">
      <w:pPr>
        <w:pStyle w:val="Testo2"/>
        <w:rPr>
          <w:rFonts w:eastAsia="Times" w:cs="Times"/>
        </w:rPr>
      </w:pPr>
      <w:r w:rsidRPr="002F52DF">
        <w:t>A basic knowledge of business strategy is required. Students who have not taken the Business Strategy and Policy course are invited to read the following text:</w:t>
      </w:r>
    </w:p>
    <w:p w14:paraId="580F79A3" w14:textId="77777777" w:rsidR="00004545" w:rsidRPr="002F52DF" w:rsidRDefault="00004545" w:rsidP="00004545">
      <w:pPr>
        <w:pStyle w:val="Testo2"/>
        <w:rPr>
          <w:rFonts w:eastAsia="Times" w:cs="Times"/>
          <w:lang w:val="it-IT"/>
        </w:rPr>
      </w:pPr>
      <w:r w:rsidRPr="002F52DF">
        <w:rPr>
          <w:lang w:val="it-IT"/>
        </w:rPr>
        <w:t xml:space="preserve">Grant R., </w:t>
      </w:r>
      <w:r w:rsidRPr="002F52DF">
        <w:rPr>
          <w:i/>
          <w:iCs/>
          <w:lang w:val="it-IT"/>
        </w:rPr>
        <w:t>L’analisi strategica per le decisioni aziendali</w:t>
      </w:r>
      <w:r w:rsidRPr="002F52DF">
        <w:rPr>
          <w:lang w:val="it-IT"/>
        </w:rPr>
        <w:t>, Il Mulino.</w:t>
      </w:r>
    </w:p>
    <w:p w14:paraId="7A87D0DF" w14:textId="77777777" w:rsidR="009259A8" w:rsidRPr="009259A8" w:rsidRDefault="009259A8" w:rsidP="009259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before="120" w:line="259" w:lineRule="auto"/>
        <w:ind w:firstLine="284"/>
        <w:jc w:val="left"/>
        <w:rPr>
          <w:rFonts w:eastAsia="Calibri" w:cs="Times New Roman"/>
          <w:color w:val="auto"/>
          <w:sz w:val="18"/>
          <w:szCs w:val="18"/>
          <w:bdr w:val="none" w:sz="0" w:space="0" w:color="auto"/>
          <w:lang w:val="en-US" w:eastAsia="en-US"/>
        </w:rPr>
      </w:pPr>
      <w:r w:rsidRPr="009259A8">
        <w:rPr>
          <w:rFonts w:eastAsia="Calibri" w:cs="Times New Roman"/>
          <w:color w:val="auto"/>
          <w:sz w:val="18"/>
          <w:szCs w:val="18"/>
          <w:bdr w:val="none" w:sz="0" w:space="0" w:color="auto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28E89DFB" w14:textId="1B889EE7" w:rsidR="00323CEB" w:rsidRDefault="003957A2" w:rsidP="00004545">
      <w:pPr>
        <w:pStyle w:val="Testo2"/>
        <w:spacing w:before="120"/>
      </w:pPr>
      <w:r w:rsidRPr="002F52DF">
        <w:t xml:space="preserve">Further information can be found on the lecturer's webpage at </w:t>
      </w:r>
      <w:r w:rsidRPr="002F52DF">
        <w:rPr>
          <w:rStyle w:val="Hyperlink0"/>
          <w:color w:val="auto"/>
          <w:u w:val="none"/>
        </w:rPr>
        <w:t>http://docenti.unicatt.it/web/searchByName.do?language=ENG</w:t>
      </w:r>
      <w:r w:rsidRPr="002F52DF">
        <w:rPr>
          <w:rStyle w:val="Nessuno"/>
          <w:color w:val="auto"/>
        </w:rPr>
        <w:t xml:space="preserve"> </w:t>
      </w:r>
      <w:r w:rsidRPr="002F52DF">
        <w:rPr>
          <w:rStyle w:val="Nessuno"/>
          <w:shd w:val="clear" w:color="auto" w:fill="FFFFFF"/>
        </w:rPr>
        <w:t>or on the Faculty notice board.</w:t>
      </w:r>
    </w:p>
    <w:sectPr w:rsidR="00323CEB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0B79" w14:textId="77777777" w:rsidR="00692987" w:rsidRDefault="00692987">
      <w:pPr>
        <w:spacing w:line="240" w:lineRule="auto"/>
      </w:pPr>
      <w:r>
        <w:separator/>
      </w:r>
    </w:p>
  </w:endnote>
  <w:endnote w:type="continuationSeparator" w:id="0">
    <w:p w14:paraId="6C99F26B" w14:textId="77777777" w:rsidR="00692987" w:rsidRDefault="00692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FA9F" w14:textId="77777777" w:rsidR="00323CEB" w:rsidRDefault="00323CE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41865" w14:textId="77777777" w:rsidR="00692987" w:rsidRDefault="00692987">
      <w:pPr>
        <w:spacing w:line="240" w:lineRule="auto"/>
      </w:pPr>
      <w:r>
        <w:separator/>
      </w:r>
    </w:p>
  </w:footnote>
  <w:footnote w:type="continuationSeparator" w:id="0">
    <w:p w14:paraId="1059E6EA" w14:textId="77777777" w:rsidR="00692987" w:rsidRDefault="00692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EBFD" w14:textId="77777777" w:rsidR="00323CEB" w:rsidRDefault="00323CE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A76"/>
    <w:multiLevelType w:val="hybridMultilevel"/>
    <w:tmpl w:val="120492BE"/>
    <w:styleLink w:val="Stileimportato1"/>
    <w:lvl w:ilvl="0" w:tplc="03182BE0">
      <w:start w:val="1"/>
      <w:numFmt w:val="bullet"/>
      <w:lvlText w:val="-"/>
      <w:lvlJc w:val="left"/>
      <w:pPr>
        <w:tabs>
          <w:tab w:val="left" w:pos="284"/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184"/>
        </w:tabs>
        <w:ind w:left="720" w:hanging="4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EACDEA">
      <w:start w:val="1"/>
      <w:numFmt w:val="bullet"/>
      <w:lvlText w:val="o"/>
      <w:lvlJc w:val="left"/>
      <w:pPr>
        <w:tabs>
          <w:tab w:val="left" w:pos="284"/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184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1A9F92">
      <w:start w:val="1"/>
      <w:numFmt w:val="bullet"/>
      <w:lvlText w:val="▪"/>
      <w:lvlJc w:val="left"/>
      <w:pPr>
        <w:tabs>
          <w:tab w:val="left" w:pos="284"/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184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14E702">
      <w:start w:val="1"/>
      <w:numFmt w:val="bullet"/>
      <w:lvlText w:val="·"/>
      <w:lvlJc w:val="left"/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184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247E8">
      <w:start w:val="1"/>
      <w:numFmt w:val="bullet"/>
      <w:lvlText w:val="o"/>
      <w:lvlJc w:val="left"/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184"/>
        </w:tabs>
        <w:ind w:left="376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98E542">
      <w:start w:val="1"/>
      <w:numFmt w:val="bullet"/>
      <w:lvlText w:val="▪"/>
      <w:lvlJc w:val="left"/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184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A1E84">
      <w:start w:val="1"/>
      <w:numFmt w:val="bullet"/>
      <w:lvlText w:val="·"/>
      <w:lvlJc w:val="left"/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184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F26C">
      <w:start w:val="1"/>
      <w:numFmt w:val="bullet"/>
      <w:lvlText w:val="o"/>
      <w:lvlJc w:val="left"/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18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527200">
      <w:start w:val="1"/>
      <w:numFmt w:val="bullet"/>
      <w:lvlText w:val="▪"/>
      <w:lvlJc w:val="left"/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184"/>
          <w:tab w:val="num" w:pos="648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B174888"/>
    <w:multiLevelType w:val="hybridMultilevel"/>
    <w:tmpl w:val="55E24EC4"/>
    <w:lvl w:ilvl="0" w:tplc="39B8C8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3B28C7"/>
    <w:multiLevelType w:val="hybridMultilevel"/>
    <w:tmpl w:val="5A9A50E0"/>
    <w:lvl w:ilvl="0" w:tplc="78CEE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7A4D"/>
    <w:multiLevelType w:val="hybridMultilevel"/>
    <w:tmpl w:val="07CC6472"/>
    <w:lvl w:ilvl="0" w:tplc="EDFA2D6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210313"/>
    <w:multiLevelType w:val="hybridMultilevel"/>
    <w:tmpl w:val="1DB28232"/>
    <w:styleLink w:val="Puntielenco"/>
    <w:lvl w:ilvl="0" w:tplc="3488A4E4">
      <w:start w:val="1"/>
      <w:numFmt w:val="bullet"/>
      <w:lvlText w:val="-"/>
      <w:lvlJc w:val="left"/>
      <w:pPr>
        <w:tabs>
          <w:tab w:val="left" w:pos="284"/>
          <w:tab w:val="num" w:pos="426"/>
        </w:tabs>
        <w:ind w:left="8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C8355A">
      <w:start w:val="1"/>
      <w:numFmt w:val="bullet"/>
      <w:lvlText w:val="-"/>
      <w:lvlJc w:val="left"/>
      <w:pPr>
        <w:tabs>
          <w:tab w:val="left" w:pos="284"/>
          <w:tab w:val="left" w:pos="426"/>
          <w:tab w:val="num" w:pos="1026"/>
        </w:tabs>
        <w:ind w:left="14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62FB00">
      <w:start w:val="1"/>
      <w:numFmt w:val="bullet"/>
      <w:lvlText w:val="-"/>
      <w:lvlJc w:val="left"/>
      <w:pPr>
        <w:tabs>
          <w:tab w:val="left" w:pos="284"/>
          <w:tab w:val="left" w:pos="426"/>
          <w:tab w:val="num" w:pos="1626"/>
        </w:tabs>
        <w:ind w:left="20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324EBE">
      <w:start w:val="1"/>
      <w:numFmt w:val="bullet"/>
      <w:lvlText w:val="-"/>
      <w:lvlJc w:val="left"/>
      <w:pPr>
        <w:tabs>
          <w:tab w:val="left" w:pos="284"/>
          <w:tab w:val="left" w:pos="426"/>
          <w:tab w:val="num" w:pos="2226"/>
        </w:tabs>
        <w:ind w:left="26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6E9BBE">
      <w:start w:val="1"/>
      <w:numFmt w:val="bullet"/>
      <w:lvlText w:val="-"/>
      <w:lvlJc w:val="left"/>
      <w:pPr>
        <w:tabs>
          <w:tab w:val="left" w:pos="284"/>
          <w:tab w:val="left" w:pos="426"/>
          <w:tab w:val="num" w:pos="2826"/>
        </w:tabs>
        <w:ind w:left="32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269120">
      <w:start w:val="1"/>
      <w:numFmt w:val="bullet"/>
      <w:lvlText w:val="-"/>
      <w:lvlJc w:val="left"/>
      <w:pPr>
        <w:tabs>
          <w:tab w:val="left" w:pos="284"/>
          <w:tab w:val="left" w:pos="426"/>
          <w:tab w:val="num" w:pos="3426"/>
        </w:tabs>
        <w:ind w:left="38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0802BC">
      <w:start w:val="1"/>
      <w:numFmt w:val="bullet"/>
      <w:lvlText w:val="-"/>
      <w:lvlJc w:val="left"/>
      <w:pPr>
        <w:tabs>
          <w:tab w:val="left" w:pos="284"/>
          <w:tab w:val="left" w:pos="426"/>
          <w:tab w:val="num" w:pos="4026"/>
        </w:tabs>
        <w:ind w:left="44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B229F0">
      <w:start w:val="1"/>
      <w:numFmt w:val="bullet"/>
      <w:lvlText w:val="-"/>
      <w:lvlJc w:val="left"/>
      <w:pPr>
        <w:tabs>
          <w:tab w:val="left" w:pos="284"/>
          <w:tab w:val="left" w:pos="426"/>
          <w:tab w:val="num" w:pos="4626"/>
        </w:tabs>
        <w:ind w:left="50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7489EA">
      <w:start w:val="1"/>
      <w:numFmt w:val="bullet"/>
      <w:lvlText w:val="-"/>
      <w:lvlJc w:val="left"/>
      <w:pPr>
        <w:tabs>
          <w:tab w:val="left" w:pos="284"/>
          <w:tab w:val="left" w:pos="426"/>
          <w:tab w:val="num" w:pos="5226"/>
        </w:tabs>
        <w:ind w:left="5651" w:hanging="56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2355FB7"/>
    <w:multiLevelType w:val="hybridMultilevel"/>
    <w:tmpl w:val="1DB28232"/>
    <w:numStyleLink w:val="Puntielenco"/>
  </w:abstractNum>
  <w:abstractNum w:abstractNumId="7" w15:restartNumberingAfterBreak="0">
    <w:nsid w:val="639A6678"/>
    <w:multiLevelType w:val="hybridMultilevel"/>
    <w:tmpl w:val="120492BE"/>
    <w:numStyleLink w:val="Stileimportato1"/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EB"/>
    <w:rsid w:val="00004545"/>
    <w:rsid w:val="00040395"/>
    <w:rsid w:val="00087733"/>
    <w:rsid w:val="000D5DC9"/>
    <w:rsid w:val="00125E87"/>
    <w:rsid w:val="001C321B"/>
    <w:rsid w:val="002F52DF"/>
    <w:rsid w:val="00323CEB"/>
    <w:rsid w:val="0034614C"/>
    <w:rsid w:val="003957A2"/>
    <w:rsid w:val="0046014A"/>
    <w:rsid w:val="004F1DF6"/>
    <w:rsid w:val="004F7884"/>
    <w:rsid w:val="005C420D"/>
    <w:rsid w:val="006254B9"/>
    <w:rsid w:val="00692987"/>
    <w:rsid w:val="006F7447"/>
    <w:rsid w:val="007F7FDE"/>
    <w:rsid w:val="00807468"/>
    <w:rsid w:val="008216A6"/>
    <w:rsid w:val="00847672"/>
    <w:rsid w:val="009259A8"/>
    <w:rsid w:val="00A73065"/>
    <w:rsid w:val="00AA5F27"/>
    <w:rsid w:val="00AB68C6"/>
    <w:rsid w:val="00B62A8A"/>
    <w:rsid w:val="00C5355D"/>
    <w:rsid w:val="00C766AE"/>
    <w:rsid w:val="00C941DD"/>
    <w:rsid w:val="00D1039D"/>
    <w:rsid w:val="00D85E36"/>
    <w:rsid w:val="00D94953"/>
    <w:rsid w:val="00EB1967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33B6"/>
  <w15:docId w15:val="{7C120F75-09EA-462C-86D2-52F548BD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uiPriority w:val="34"/>
    <w:qFormat/>
    <w:pPr>
      <w:tabs>
        <w:tab w:val="left" w:pos="284"/>
      </w:tabs>
      <w:spacing w:line="22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2">
    <w:name w:val="Testo 2"/>
    <w:link w:val="Testo2Carattere"/>
    <w:qFormat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numbering" w:customStyle="1" w:styleId="Puntielenco">
    <w:name w:val="Punti elenco"/>
    <w:pPr>
      <w:numPr>
        <w:numId w:val="3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461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614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614C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61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614C"/>
    <w:rPr>
      <w:rFonts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14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Testo2Carattere">
    <w:name w:val="Testo 2 Carattere"/>
    <w:link w:val="Testo2"/>
    <w:locked/>
    <w:rsid w:val="00807468"/>
    <w:rPr>
      <w:rFonts w:ascii="Times" w:hAnsi="Times" w:cs="Arial Unicode MS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2</cp:revision>
  <dcterms:created xsi:type="dcterms:W3CDTF">2021-06-14T07:32:00Z</dcterms:created>
  <dcterms:modified xsi:type="dcterms:W3CDTF">2021-06-14T07:32:00Z</dcterms:modified>
</cp:coreProperties>
</file>