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4B32EF" w:rsidP="002D5E17">
      <w:pPr>
        <w:pStyle w:val="Titolo1"/>
      </w:pPr>
      <w:r>
        <w:t>Economia industriale</w:t>
      </w:r>
    </w:p>
    <w:p w:rsidR="004B32EF" w:rsidRDefault="004B32EF" w:rsidP="004B32EF">
      <w:pPr>
        <w:pStyle w:val="Titolo2"/>
      </w:pPr>
      <w:r>
        <w:t>Prof. Bernardino Cesi</w:t>
      </w:r>
    </w:p>
    <w:p w:rsidR="004B32EF" w:rsidRDefault="004B32EF" w:rsidP="004B32E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B32EF" w:rsidRPr="000148A7" w:rsidRDefault="004B32EF" w:rsidP="004B32EF">
      <w:pPr>
        <w:spacing w:line="240" w:lineRule="exact"/>
      </w:pPr>
      <w:r w:rsidRPr="00313727">
        <w:t xml:space="preserve">Il corso ha l’obiettivo di fornire gli strumenti microeconomici di analisi delle scelte strategiche tra i principali soggetti operanti nel mercato: imprese, istituzioni, consumatori e autorità indipendenti. A tal fine si studieranno i meccanismi che regolano l’interazione tra queste categorie attraverso i concetti di teoria dei giochi non cooperativa. Attraverso l’approccio analitico/strategico il corso permette la comprensione delle dinamiche di mercato, della formazione e del funzionamento dei principali settori industriali. Lo studio permetterà di capire come le scelte delle principali autorità indipendenti (quali ad esempio l’autorità garante per la </w:t>
      </w:r>
      <w:bookmarkStart w:id="0" w:name="_GoBack"/>
      <w:r w:rsidRPr="000148A7">
        <w:t>concorrenza nel mercato) influenzino i mercati attraverso la reazione strategica di imprese e consumatori. Il corso garantisce inoltre lo studio dei principali strumenti di analisi della domanda pubblica e delle procedure di appalto pubblico, regolate in Italia dal “codice degli appalti”.</w:t>
      </w:r>
    </w:p>
    <w:bookmarkEnd w:id="0"/>
    <w:p w:rsidR="004B32EF" w:rsidRDefault="004B32EF" w:rsidP="004B32E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B32EF" w:rsidRPr="004B32EF" w:rsidRDefault="004B32EF" w:rsidP="004B32EF">
      <w:pPr>
        <w:rPr>
          <w:i/>
        </w:rPr>
      </w:pPr>
      <w:r w:rsidRPr="004B32EF">
        <w:rPr>
          <w:i/>
        </w:rPr>
        <w:t>Teoria dei giochi</w:t>
      </w:r>
    </w:p>
    <w:p w:rsidR="004B32EF" w:rsidRPr="001058E6" w:rsidRDefault="004B32EF" w:rsidP="004B32EF">
      <w:r w:rsidRPr="001058E6">
        <w:t>Interazione strategica</w:t>
      </w:r>
    </w:p>
    <w:p w:rsidR="004B32EF" w:rsidRPr="001058E6" w:rsidRDefault="004B32EF" w:rsidP="004B32EF">
      <w:r w:rsidRPr="001058E6">
        <w:t>Giochi statici e dinamici</w:t>
      </w:r>
    </w:p>
    <w:p w:rsidR="004B32EF" w:rsidRPr="004B32EF" w:rsidRDefault="004B32EF" w:rsidP="004B32EF">
      <w:pPr>
        <w:spacing w:before="120"/>
        <w:rPr>
          <w:i/>
        </w:rPr>
      </w:pPr>
      <w:r w:rsidRPr="004B32EF">
        <w:rPr>
          <w:i/>
        </w:rPr>
        <w:t>Oligopolio</w:t>
      </w:r>
    </w:p>
    <w:p w:rsidR="004B32EF" w:rsidRDefault="004B32EF" w:rsidP="004B32EF">
      <w:r w:rsidRPr="001058E6">
        <w:t>Modelli statici di concorrenza oligopolistica</w:t>
      </w:r>
    </w:p>
    <w:p w:rsidR="004B32EF" w:rsidRPr="001058E6" w:rsidRDefault="004B32EF" w:rsidP="004B32EF">
      <w:r w:rsidRPr="001058E6">
        <w:t>Bertrand</w:t>
      </w:r>
    </w:p>
    <w:p w:rsidR="004B32EF" w:rsidRPr="001058E6" w:rsidRDefault="004B32EF" w:rsidP="004B32EF">
      <w:r w:rsidRPr="001058E6">
        <w:t xml:space="preserve">Cournot </w:t>
      </w:r>
    </w:p>
    <w:p w:rsidR="004B32EF" w:rsidRPr="004B32EF" w:rsidRDefault="004B32EF" w:rsidP="004B32EF">
      <w:pPr>
        <w:spacing w:before="120"/>
        <w:rPr>
          <w:i/>
        </w:rPr>
      </w:pPr>
      <w:r w:rsidRPr="004B32EF">
        <w:rPr>
          <w:i/>
        </w:rPr>
        <w:t>Collusione</w:t>
      </w:r>
    </w:p>
    <w:p w:rsidR="004B32EF" w:rsidRPr="001058E6" w:rsidRDefault="004B32EF" w:rsidP="004B32EF">
      <w:r w:rsidRPr="001058E6">
        <w:t>Ruolo dei giochi ripetuti ed equilibri perfetti nei sottogiochi</w:t>
      </w:r>
    </w:p>
    <w:p w:rsidR="004B32EF" w:rsidRPr="001058E6" w:rsidRDefault="004B32EF" w:rsidP="004B32EF">
      <w:r w:rsidRPr="001058E6">
        <w:t>Perché competere e ruolo della cooperazione</w:t>
      </w:r>
    </w:p>
    <w:p w:rsidR="004B32EF" w:rsidRPr="001058E6" w:rsidRDefault="004B32EF" w:rsidP="004B32EF">
      <w:r w:rsidRPr="001058E6">
        <w:t>Quando conviene cooperare/colludere</w:t>
      </w:r>
    </w:p>
    <w:p w:rsidR="004B32EF" w:rsidRPr="001058E6" w:rsidRDefault="004B32EF" w:rsidP="004B32EF">
      <w:r w:rsidRPr="001058E6">
        <w:t>Analisi empirica dei fenomeni collusivi</w:t>
      </w:r>
    </w:p>
    <w:p w:rsidR="004B32EF" w:rsidRPr="004B32EF" w:rsidRDefault="004B32EF" w:rsidP="004B32EF">
      <w:pPr>
        <w:spacing w:before="120"/>
        <w:rPr>
          <w:i/>
        </w:rPr>
      </w:pPr>
      <w:r w:rsidRPr="004B32EF">
        <w:rPr>
          <w:i/>
        </w:rPr>
        <w:t>Differenziazione del prodotto</w:t>
      </w:r>
    </w:p>
    <w:p w:rsidR="004B32EF" w:rsidRPr="001058E6" w:rsidRDefault="004B32EF" w:rsidP="004B32EF">
      <w:r w:rsidRPr="001058E6">
        <w:t>Differenziazione orizzontale</w:t>
      </w:r>
    </w:p>
    <w:p w:rsidR="004B32EF" w:rsidRPr="001058E6" w:rsidRDefault="004B32EF" w:rsidP="004B32EF">
      <w:r w:rsidRPr="001058E6">
        <w:t>Perché conviene alle imprese</w:t>
      </w:r>
    </w:p>
    <w:p w:rsidR="004B32EF" w:rsidRPr="001058E6" w:rsidRDefault="004B32EF" w:rsidP="004B32EF">
      <w:r w:rsidRPr="001058E6">
        <w:t xml:space="preserve">Ruolo strategico del grado di differenziazione </w:t>
      </w:r>
    </w:p>
    <w:p w:rsidR="004B32EF" w:rsidRPr="004B32EF" w:rsidRDefault="004B32EF" w:rsidP="004B32EF">
      <w:pPr>
        <w:spacing w:before="120"/>
        <w:rPr>
          <w:i/>
        </w:rPr>
      </w:pPr>
      <w:r w:rsidRPr="004B32EF">
        <w:rPr>
          <w:i/>
        </w:rPr>
        <w:t>Discriminazione di prezzo</w:t>
      </w:r>
    </w:p>
    <w:p w:rsidR="004B32EF" w:rsidRPr="001058E6" w:rsidRDefault="004B32EF" w:rsidP="004B32EF">
      <w:r w:rsidRPr="001058E6">
        <w:t>Consumatori diversi in base alle preferenze</w:t>
      </w:r>
    </w:p>
    <w:p w:rsidR="004B32EF" w:rsidRPr="001058E6" w:rsidRDefault="004B32EF" w:rsidP="004B32EF">
      <w:r w:rsidRPr="001058E6">
        <w:t>Discriminazione di prezzo di I, II e III grado.</w:t>
      </w:r>
    </w:p>
    <w:p w:rsidR="004B32EF" w:rsidRPr="001058E6" w:rsidRDefault="004B32EF" w:rsidP="004B32EF">
      <w:r w:rsidRPr="001058E6">
        <w:lastRenderedPageBreak/>
        <w:t>Ruolo di diversi pacchetti di offerte.</w:t>
      </w:r>
    </w:p>
    <w:p w:rsidR="004B32EF" w:rsidRPr="001058E6" w:rsidRDefault="004B32EF" w:rsidP="004B32EF">
      <w:r w:rsidRPr="001058E6">
        <w:t>Analisi di welfare nel caso di diversi gradi di discriminazione.</w:t>
      </w:r>
    </w:p>
    <w:p w:rsidR="004B32EF" w:rsidRPr="004B32EF" w:rsidRDefault="004B32EF" w:rsidP="004B32EF">
      <w:pPr>
        <w:spacing w:before="120"/>
        <w:rPr>
          <w:i/>
        </w:rPr>
      </w:pPr>
      <w:r w:rsidRPr="004B32EF">
        <w:rPr>
          <w:i/>
        </w:rPr>
        <w:t>Relazioni verticali</w:t>
      </w:r>
    </w:p>
    <w:p w:rsidR="004B32EF" w:rsidRPr="001058E6" w:rsidRDefault="004B32EF" w:rsidP="004B32EF">
      <w:r w:rsidRPr="001058E6">
        <w:t>Monopolio a monte e a valle</w:t>
      </w:r>
    </w:p>
    <w:p w:rsidR="004B32EF" w:rsidRPr="001058E6" w:rsidRDefault="004B32EF" w:rsidP="004B32EF">
      <w:r w:rsidRPr="001058E6">
        <w:t>Ruolo della concorrenza a valle</w:t>
      </w:r>
    </w:p>
    <w:p w:rsidR="004B32EF" w:rsidRPr="001058E6" w:rsidRDefault="004B32EF" w:rsidP="004B32EF">
      <w:r w:rsidRPr="001058E6">
        <w:t>Prezzo unico vs tariffe a due parti</w:t>
      </w:r>
    </w:p>
    <w:p w:rsidR="004B32EF" w:rsidRPr="004B32EF" w:rsidRDefault="004B32EF" w:rsidP="004B32EF">
      <w:pPr>
        <w:spacing w:before="120"/>
        <w:rPr>
          <w:i/>
        </w:rPr>
      </w:pPr>
      <w:r w:rsidRPr="004B32EF">
        <w:rPr>
          <w:i/>
        </w:rPr>
        <w:t>Economia degli appalti pubblici</w:t>
      </w:r>
    </w:p>
    <w:p w:rsidR="004B32EF" w:rsidRPr="001058E6" w:rsidRDefault="004B32EF" w:rsidP="004B32EF">
      <w:r w:rsidRPr="001058E6">
        <w:t>Cos’è un appalto pubblico</w:t>
      </w:r>
    </w:p>
    <w:p w:rsidR="004B32EF" w:rsidRPr="001058E6" w:rsidRDefault="004B32EF" w:rsidP="004B32EF">
      <w:r w:rsidRPr="001058E6">
        <w:t>Analisi Economia del codice degli appalti</w:t>
      </w:r>
    </w:p>
    <w:p w:rsidR="004B32EF" w:rsidRPr="001058E6" w:rsidRDefault="004B32EF" w:rsidP="004B32EF">
      <w:r w:rsidRPr="001058E6">
        <w:t xml:space="preserve">Le principali procedure competitive </w:t>
      </w:r>
    </w:p>
    <w:p w:rsidR="004B32EF" w:rsidRPr="001058E6" w:rsidRDefault="004B32EF" w:rsidP="004B32EF">
      <w:r w:rsidRPr="001058E6">
        <w:t>Formule di aggiudicazione nelle procedure di appalto</w:t>
      </w:r>
    </w:p>
    <w:p w:rsidR="004B32EF" w:rsidRPr="001058E6" w:rsidRDefault="004B32EF" w:rsidP="004B32EF">
      <w:r w:rsidRPr="001058E6">
        <w:t>Collusione nelle gare di appalto</w:t>
      </w:r>
    </w:p>
    <w:p w:rsidR="004B32EF" w:rsidRPr="001058E6" w:rsidRDefault="004B32EF" w:rsidP="004B32EF">
      <w:r w:rsidRPr="001058E6">
        <w:t>Casi studio</w:t>
      </w:r>
    </w:p>
    <w:p w:rsidR="004B32EF" w:rsidRDefault="002E13E2" w:rsidP="002E13E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2E13E2" w:rsidRPr="002E13E2" w:rsidRDefault="002E13E2" w:rsidP="002E13E2">
      <w:pPr>
        <w:pStyle w:val="Testo1"/>
        <w:spacing w:before="0"/>
      </w:pPr>
      <w:r w:rsidRPr="002E13E2">
        <w:t>Luis Cabral (2002). Economia industriale. Milano: Carocci. Cap: 2,4,5,7,8,10,11,12</w:t>
      </w:r>
    </w:p>
    <w:p w:rsidR="002E13E2" w:rsidRPr="002E13E2" w:rsidRDefault="002E13E2" w:rsidP="002E13E2">
      <w:pPr>
        <w:pStyle w:val="Testo1"/>
        <w:spacing w:before="0"/>
      </w:pPr>
      <w:r w:rsidRPr="002E13E2">
        <w:t>Microeconomia. H. Varian. Cafoscarina</w:t>
      </w:r>
    </w:p>
    <w:p w:rsidR="002E13E2" w:rsidRPr="002E13E2" w:rsidRDefault="002E13E2" w:rsidP="002E13E2">
      <w:pPr>
        <w:pStyle w:val="Testo1"/>
        <w:spacing w:before="0"/>
      </w:pPr>
      <w:r w:rsidRPr="002E13E2">
        <w:t>Luis Cabral. Economia Industriale, Carocci.</w:t>
      </w:r>
    </w:p>
    <w:p w:rsidR="002E13E2" w:rsidRPr="002E13E2" w:rsidRDefault="002E13E2" w:rsidP="002E13E2">
      <w:pPr>
        <w:pStyle w:val="Testo1"/>
        <w:spacing w:before="0"/>
      </w:pPr>
      <w:r w:rsidRPr="002E13E2">
        <w:t xml:space="preserve">The handbook of procurement. </w:t>
      </w:r>
    </w:p>
    <w:p w:rsidR="002E13E2" w:rsidRPr="002E13E2" w:rsidRDefault="002E13E2" w:rsidP="002E13E2">
      <w:pPr>
        <w:pStyle w:val="Testo1"/>
        <w:spacing w:before="0"/>
      </w:pPr>
      <w:r w:rsidRPr="002E13E2">
        <w:t>“Le formule di aggiudicazione nelle gare d'appalto all'offerta economicamente più vantaggiosa”. Albano, G.L., Sparro M. Zampino R. L’industria. 2014</w:t>
      </w:r>
    </w:p>
    <w:p w:rsidR="002E13E2" w:rsidRPr="002E13E2" w:rsidRDefault="002E13E2" w:rsidP="002E13E2">
      <w:pPr>
        <w:pStyle w:val="Testo1"/>
        <w:spacing w:before="0"/>
      </w:pPr>
      <w:r w:rsidRPr="002E13E2">
        <w:t>Divisione in lotti, partecipazione e competizione nelle gare d’appalto, Quaderni Consip, 2016.</w:t>
      </w:r>
    </w:p>
    <w:p w:rsidR="002E13E2" w:rsidRPr="002E13E2" w:rsidRDefault="002E13E2" w:rsidP="002E13E2">
      <w:pPr>
        <w:pStyle w:val="Testo1"/>
        <w:spacing w:before="0"/>
      </w:pPr>
      <w:r w:rsidRPr="002E13E2">
        <w:t>Cesi B. e A. Di Natale (2018) “Transparency in repeated procurement: when hiding is better” Economics Bulletin, Volume 39, issue 1.</w:t>
      </w:r>
    </w:p>
    <w:p w:rsidR="002E13E2" w:rsidRDefault="002E13E2" w:rsidP="002E13E2">
      <w:pPr>
        <w:pStyle w:val="Testo1"/>
        <w:spacing w:before="0"/>
      </w:pPr>
      <w:r w:rsidRPr="002E13E2">
        <w:t>AGCM</w:t>
      </w:r>
    </w:p>
    <w:p w:rsidR="002E13E2" w:rsidRDefault="002E13E2" w:rsidP="002E13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E13E2" w:rsidRPr="00CD6EB9" w:rsidRDefault="002E13E2" w:rsidP="002E13E2">
      <w:pPr>
        <w:pStyle w:val="Testo2"/>
      </w:pPr>
      <w:r w:rsidRPr="00CD6EB9">
        <w:t xml:space="preserve">Ore di didattica frontale in cui agli studenti vengono presentate delle </w:t>
      </w:r>
      <w:r w:rsidRPr="00CD6EB9">
        <w:rPr>
          <w:i/>
        </w:rPr>
        <w:t>slides</w:t>
      </w:r>
      <w:r w:rsidRPr="00CD6EB9">
        <w:t xml:space="preserve"> e ai quali è richiesta l’interazione in tempo reale durante la lezione. Le </w:t>
      </w:r>
      <w:r w:rsidRPr="00CD6EB9">
        <w:rPr>
          <w:i/>
        </w:rPr>
        <w:t>slides</w:t>
      </w:r>
      <w:r w:rsidRPr="00CD6EB9">
        <w:t xml:space="preserve"> verranno caricare sul sito immediatamente a lezione terminata.  </w:t>
      </w:r>
    </w:p>
    <w:p w:rsidR="002E13E2" w:rsidRDefault="002E13E2" w:rsidP="002E13E2">
      <w:pPr>
        <w:pStyle w:val="Testo2"/>
      </w:pPr>
      <w:r w:rsidRPr="004A060B">
        <w:t>Durante le lezioni agli student</w:t>
      </w:r>
      <w:r>
        <w:t xml:space="preserve">i vengono poste alcune domande ed, </w:t>
      </w:r>
      <w:r w:rsidRPr="004A060B">
        <w:t xml:space="preserve">in base al tipo di risposta, </w:t>
      </w:r>
      <w:r>
        <w:t xml:space="preserve"> </w:t>
      </w:r>
      <w:r w:rsidRPr="004A060B">
        <w:t>possono garantire dei punti bonus che si tradurranno in un punteggio addizionale al voto finale dell</w:t>
      </w:r>
      <w:r>
        <w:t>’esame del primo appello.</w:t>
      </w:r>
    </w:p>
    <w:p w:rsidR="002E13E2" w:rsidRPr="004A060B" w:rsidRDefault="002E13E2" w:rsidP="002E13E2">
      <w:pPr>
        <w:pStyle w:val="Testo2"/>
      </w:pPr>
      <w:r>
        <w:t>Al termine di ogni parte teorica, si terranno delle sessioni di esercitazioni da parte del docente e discussioni di casi studio</w:t>
      </w:r>
    </w:p>
    <w:p w:rsidR="002E13E2" w:rsidRDefault="002E13E2" w:rsidP="002E13E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E13E2" w:rsidRDefault="002E13E2" w:rsidP="002E13E2">
      <w:pPr>
        <w:pStyle w:val="Testo2"/>
      </w:pPr>
      <w:r w:rsidRPr="004A060B">
        <w:t xml:space="preserve">L’esame finale </w:t>
      </w:r>
      <w:r>
        <w:t>si struttura in due parti. Una prima parte prevede un campione di domande a risposta multipla che prevedono l’assegnazione di punteggi positive in caso di risposta corretta, con penalità di punteggio in caso di risposta errata-</w:t>
      </w:r>
    </w:p>
    <w:p w:rsidR="002E13E2" w:rsidRPr="001058E6" w:rsidRDefault="002E13E2" w:rsidP="002E13E2">
      <w:pPr>
        <w:pStyle w:val="Testo2"/>
      </w:pPr>
      <w:r>
        <w:lastRenderedPageBreak/>
        <w:t xml:space="preserve">La seconda parte prevede un esercizio tendente a testare la capacita tecnico-pratica e di </w:t>
      </w:r>
      <w:r w:rsidRPr="004A060B">
        <w:rPr>
          <w:i/>
        </w:rPr>
        <w:t>problem solving</w:t>
      </w:r>
      <w:r>
        <w:t xml:space="preserve"> dello studente. L’esercizio si articola su più domande</w:t>
      </w:r>
    </w:p>
    <w:p w:rsidR="002E13E2" w:rsidRDefault="002E13E2" w:rsidP="002E13E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E13E2" w:rsidRDefault="002E13E2" w:rsidP="002E13E2">
      <w:pPr>
        <w:pStyle w:val="Testo2"/>
      </w:pPr>
      <w:r>
        <w:t xml:space="preserve">I principali prerequisiti sono </w:t>
      </w:r>
      <w:r w:rsidRPr="0002219F">
        <w:rPr>
          <w:u w:val="single"/>
        </w:rPr>
        <w:t>Economia Politica</w:t>
      </w:r>
      <w:r>
        <w:t xml:space="preserve"> (che è propedeutico) e </w:t>
      </w:r>
      <w:r>
        <w:rPr>
          <w:u w:val="single"/>
        </w:rPr>
        <w:t>M</w:t>
      </w:r>
      <w:r w:rsidRPr="0002219F">
        <w:rPr>
          <w:u w:val="single"/>
        </w:rPr>
        <w:t>atematica</w:t>
      </w:r>
      <w:r>
        <w:t xml:space="preserve"> di base. Lo strumento di </w:t>
      </w:r>
      <w:r w:rsidRPr="00041BB4">
        <w:rPr>
          <w:u w:val="single"/>
        </w:rPr>
        <w:t>Teoria dei Giochi</w:t>
      </w:r>
      <w:r>
        <w:t xml:space="preserve"> è preferibile ma non rappresenta un prerequisito in quanto la parte iniziale del corso espone gli strumenti base della </w:t>
      </w:r>
    </w:p>
    <w:p w:rsidR="002E13E2" w:rsidRPr="0002219F" w:rsidRDefault="002E13E2" w:rsidP="002E13E2">
      <w:pPr>
        <w:pStyle w:val="Testo2"/>
      </w:pPr>
      <w:r>
        <w:t>Teoria dei Giochi utilizzati durante il corso.</w:t>
      </w:r>
    </w:p>
    <w:p w:rsidR="002E13E2" w:rsidRDefault="002E13E2" w:rsidP="002E13E2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2E13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AFB"/>
    <w:multiLevelType w:val="hybridMultilevel"/>
    <w:tmpl w:val="CAC0A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4E05"/>
    <w:multiLevelType w:val="hybridMultilevel"/>
    <w:tmpl w:val="B4B03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6600"/>
    <w:multiLevelType w:val="hybridMultilevel"/>
    <w:tmpl w:val="A224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163D"/>
    <w:multiLevelType w:val="hybridMultilevel"/>
    <w:tmpl w:val="B19C4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762F"/>
    <w:multiLevelType w:val="hybridMultilevel"/>
    <w:tmpl w:val="6FDE1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D40"/>
    <w:multiLevelType w:val="hybridMultilevel"/>
    <w:tmpl w:val="E0D2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D0000"/>
    <w:multiLevelType w:val="hybridMultilevel"/>
    <w:tmpl w:val="4718B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58C8"/>
    <w:multiLevelType w:val="hybridMultilevel"/>
    <w:tmpl w:val="904E6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0174"/>
    <w:multiLevelType w:val="hybridMultilevel"/>
    <w:tmpl w:val="BB184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38"/>
    <w:rsid w:val="000148A7"/>
    <w:rsid w:val="00187B99"/>
    <w:rsid w:val="002014DD"/>
    <w:rsid w:val="00267B38"/>
    <w:rsid w:val="002D5E17"/>
    <w:rsid w:val="002E13E2"/>
    <w:rsid w:val="004B32EF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01F42"/>
  <w15:chartTrackingRefBased/>
  <w15:docId w15:val="{BCA78F9B-95FE-4A4B-8359-AC6B5C22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32EF"/>
    <w:pPr>
      <w:tabs>
        <w:tab w:val="clear" w:pos="284"/>
      </w:tabs>
      <w:spacing w:line="240" w:lineRule="auto"/>
      <w:ind w:left="720"/>
      <w:contextualSpacing/>
      <w:jc w:val="left"/>
    </w:pPr>
    <w:rPr>
      <w:rFonts w:eastAsiaTheme="minorHAnsi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473C-E235-4E84-84CE-5B5D831A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607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2020-05-27T10:52:00Z</dcterms:created>
  <dcterms:modified xsi:type="dcterms:W3CDTF">2020-05-27T11:02:00Z</dcterms:modified>
</cp:coreProperties>
</file>