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B5867" w14:textId="104A037B" w:rsidR="000B02DB" w:rsidRDefault="00000000">
      <w:pPr>
        <w:spacing w:before="120"/>
        <w:jc w:val="both"/>
        <w:rPr>
          <w:b/>
          <w:bCs/>
        </w:rPr>
      </w:pPr>
      <w:r>
        <w:rPr>
          <w:b/>
          <w:bCs/>
        </w:rPr>
        <w:t>Metodi e Tecniche dell’intervento Educativo con l’</w:t>
      </w:r>
      <w:r w:rsidR="00310B44">
        <w:rPr>
          <w:b/>
          <w:bCs/>
        </w:rPr>
        <w:t>I</w:t>
      </w:r>
      <w:r>
        <w:rPr>
          <w:b/>
          <w:bCs/>
        </w:rPr>
        <w:t>nfanzia e l’</w:t>
      </w:r>
      <w:r w:rsidR="00310B44">
        <w:rPr>
          <w:b/>
          <w:bCs/>
        </w:rPr>
        <w:t>A</w:t>
      </w:r>
      <w:r>
        <w:rPr>
          <w:b/>
          <w:bCs/>
        </w:rPr>
        <w:t>dolescenza</w:t>
      </w:r>
    </w:p>
    <w:p w14:paraId="5432644B" w14:textId="3DC13ADC" w:rsidR="000B02DB" w:rsidRPr="00310B44" w:rsidRDefault="00000000" w:rsidP="00310B44">
      <w:pPr>
        <w:spacing w:line="240" w:lineRule="exact"/>
        <w:outlineLvl w:val="1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Prof.</w:t>
      </w:r>
      <w:r w:rsidR="00E87279">
        <w:rPr>
          <w:smallCaps/>
          <w:sz w:val="18"/>
          <w:szCs w:val="18"/>
        </w:rPr>
        <w:t>ssa</w:t>
      </w:r>
      <w:r>
        <w:rPr>
          <w:smallCaps/>
          <w:sz w:val="18"/>
          <w:szCs w:val="18"/>
        </w:rPr>
        <w:t xml:space="preserve"> Alessandra </w:t>
      </w:r>
      <w:proofErr w:type="spellStart"/>
      <w:r>
        <w:rPr>
          <w:smallCaps/>
          <w:sz w:val="18"/>
          <w:szCs w:val="18"/>
        </w:rPr>
        <w:t>carenzio</w:t>
      </w:r>
      <w:proofErr w:type="spellEnd"/>
    </w:p>
    <w:p w14:paraId="71FDD865" w14:textId="77777777" w:rsidR="000B02DB" w:rsidRDefault="00000000">
      <w:pPr>
        <w:spacing w:before="240"/>
        <w:jc w:val="both"/>
        <w:rPr>
          <w:b/>
          <w:bCs/>
          <w:i/>
          <w:iCs/>
          <w:smallCaps/>
        </w:rPr>
      </w:pPr>
      <w:bookmarkStart w:id="0" w:name="_Hlk72745009"/>
      <w:r>
        <w:rPr>
          <w:b/>
          <w:bCs/>
          <w:i/>
          <w:iCs/>
          <w:smallCaps/>
        </w:rPr>
        <w:t>Obiettivo del corso e risultati di apprendimento attesi</w:t>
      </w:r>
    </w:p>
    <w:p w14:paraId="3263858A" w14:textId="427B499F" w:rsidR="000B02DB" w:rsidRDefault="00000000">
      <w:pPr>
        <w:spacing w:before="240"/>
        <w:jc w:val="both"/>
      </w:pPr>
      <w:r>
        <w:t>L’insegnamento si propone di fornire un quadro approfondito delle diverse cornici metodologi</w:t>
      </w:r>
      <w:r w:rsidR="00E87279">
        <w:t>ch</w:t>
      </w:r>
      <w:r>
        <w:t>e per l’intervento educativo con i bambini e gli adolescenti, delle loro radici teoriche e delle implicazioni operative (tecniche e strumenti).</w:t>
      </w:r>
    </w:p>
    <w:p w14:paraId="2F06D9DF" w14:textId="77777777" w:rsidR="000B02DB" w:rsidRDefault="00000000">
      <w:pPr>
        <w:jc w:val="both"/>
      </w:pPr>
      <w:r>
        <w:t xml:space="preserve">Un approfondimento specifico verrà dedicato alla Peer &amp; Media </w:t>
      </w:r>
      <w:proofErr w:type="spellStart"/>
      <w:r>
        <w:t>Education</w:t>
      </w:r>
      <w:proofErr w:type="spellEnd"/>
      <w:r>
        <w:t>, andando in affondo sull’origine del metodo e sulle tecniche di lavoro, in relazione al contesto attuale abitato dalla cultura digitale e immerso nel digitale.</w:t>
      </w:r>
    </w:p>
    <w:p w14:paraId="3A78B411" w14:textId="77777777" w:rsidR="000B02DB" w:rsidRDefault="00000000" w:rsidP="00310B44">
      <w:pPr>
        <w:spacing w:before="80"/>
        <w:jc w:val="both"/>
      </w:pPr>
      <w:r>
        <w:t>Nello specifico il corso intende accrescere la conoscenza e la comprensione:</w:t>
      </w:r>
    </w:p>
    <w:p w14:paraId="43A0C2E6" w14:textId="77777777" w:rsidR="000B02DB" w:rsidRDefault="0000000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 concetto di metodo educativo e delle categorie portanti della metodologia educativa;</w:t>
      </w:r>
    </w:p>
    <w:p w14:paraId="0961B96A" w14:textId="77777777" w:rsidR="000B02DB" w:rsidRDefault="0000000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delle principali impostazioni didattiche finalizzate ad un apprendimento attivo con i bambini e con gli adolescenti;</w:t>
      </w:r>
    </w:p>
    <w:p w14:paraId="0512D268" w14:textId="77777777" w:rsidR="000B02DB" w:rsidRDefault="0000000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delle logiche di apprendimento e socializzazione tipiche delle età (il cervello adolescente);</w:t>
      </w:r>
    </w:p>
    <w:p w14:paraId="3E1E8A6A" w14:textId="77777777" w:rsidR="000B02DB" w:rsidRDefault="0000000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delle strategie di prevenzione del disagio e dei comportamenti a rischio e all’interno della scuola e dei contesti extra-scolastici, in sinergia e rapporto sistemico;</w:t>
      </w:r>
    </w:p>
    <w:p w14:paraId="0257169A" w14:textId="043DEDB8" w:rsidR="000B02DB" w:rsidRPr="00310B44" w:rsidRDefault="00000000" w:rsidP="00310B44">
      <w:pPr>
        <w:pStyle w:val="Paragrafoelenco"/>
        <w:numPr>
          <w:ilvl w:val="0"/>
          <w:numId w:val="2"/>
        </w:numPr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>delle potenzialità e delle problematiche legate al tempo del digitale.</w:t>
      </w:r>
    </w:p>
    <w:p w14:paraId="620AB3F6" w14:textId="77777777" w:rsidR="000B02DB" w:rsidRDefault="00000000">
      <w:pPr>
        <w:spacing w:before="60" w:line="240" w:lineRule="atLeast"/>
        <w:jc w:val="both"/>
        <w:rPr>
          <w:i/>
          <w:iCs/>
        </w:rPr>
      </w:pPr>
      <w:r>
        <w:rPr>
          <w:i/>
          <w:iCs/>
        </w:rPr>
        <w:t>Risultati di apprendimento attesi</w:t>
      </w:r>
    </w:p>
    <w:p w14:paraId="4FA6D00A" w14:textId="77777777" w:rsidR="000B02DB" w:rsidRDefault="00000000">
      <w:pPr>
        <w:tabs>
          <w:tab w:val="left" w:pos="284"/>
        </w:tabs>
        <w:spacing w:line="240" w:lineRule="exact"/>
        <w:jc w:val="both"/>
        <w:rPr>
          <w:rFonts w:ascii="Times" w:eastAsia="Times" w:hAnsi="Times" w:cs="Times"/>
        </w:rPr>
      </w:pPr>
      <w:r>
        <w:rPr>
          <w:rFonts w:ascii="Times" w:hAnsi="Times"/>
        </w:rPr>
        <w:t xml:space="preserve">I risultati di apprendimento attesi riguardo alle </w:t>
      </w:r>
      <w:r>
        <w:rPr>
          <w:rFonts w:ascii="Times" w:hAnsi="Times"/>
          <w:i/>
          <w:iCs/>
        </w:rPr>
        <w:t>conoscenze e alla comprensione</w:t>
      </w:r>
      <w:r>
        <w:rPr>
          <w:rFonts w:ascii="Times" w:hAnsi="Times"/>
        </w:rPr>
        <w:t xml:space="preserve"> (</w:t>
      </w:r>
      <w:r>
        <w:rPr>
          <w:rFonts w:ascii="Times" w:hAnsi="Times"/>
          <w:i/>
          <w:iCs/>
        </w:rPr>
        <w:t xml:space="preserve">knowledge and </w:t>
      </w:r>
      <w:proofErr w:type="spellStart"/>
      <w:r>
        <w:rPr>
          <w:rFonts w:ascii="Times" w:hAnsi="Times"/>
          <w:i/>
          <w:iCs/>
        </w:rPr>
        <w:t>understanding</w:t>
      </w:r>
      <w:proofErr w:type="spellEnd"/>
      <w:r>
        <w:rPr>
          <w:rFonts w:ascii="Times" w:hAnsi="Times"/>
        </w:rPr>
        <w:t>) sono:</w:t>
      </w:r>
    </w:p>
    <w:p w14:paraId="4D880126" w14:textId="77777777" w:rsidR="000B02DB" w:rsidRDefault="00000000">
      <w:pPr>
        <w:numPr>
          <w:ilvl w:val="0"/>
          <w:numId w:val="3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conoscere e comprendere gli snodi fondamentali del quadro di riferimento teorico rispetto al senso metodo, avendo familiarità con gli autori di riferimento;</w:t>
      </w:r>
    </w:p>
    <w:p w14:paraId="75A0EFC2" w14:textId="77777777" w:rsidR="000B02DB" w:rsidRDefault="00000000">
      <w:pPr>
        <w:numPr>
          <w:ilvl w:val="0"/>
          <w:numId w:val="3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descrivere, con un lessico preciso, le principali metodologie educative per i minori e gli adolescenti;</w:t>
      </w:r>
    </w:p>
    <w:p w14:paraId="3A1AE754" w14:textId="77777777" w:rsidR="000B02DB" w:rsidRDefault="00000000">
      <w:pPr>
        <w:numPr>
          <w:ilvl w:val="0"/>
          <w:numId w:val="3"/>
        </w:numPr>
        <w:spacing w:line="240" w:lineRule="exact"/>
        <w:jc w:val="both"/>
        <w:rPr>
          <w:rFonts w:ascii="Times" w:hAnsi="Times"/>
        </w:rPr>
      </w:pPr>
      <w:r>
        <w:rPr>
          <w:rFonts w:ascii="Times" w:hAnsi="Times"/>
        </w:rPr>
        <w:t>riconoscere le radici teoriche delle metodologie educative per l’infanzia e l’adolescenza;</w:t>
      </w:r>
    </w:p>
    <w:p w14:paraId="3529531D" w14:textId="77777777" w:rsidR="000B02DB" w:rsidRDefault="00000000">
      <w:pPr>
        <w:tabs>
          <w:tab w:val="left" w:pos="284"/>
        </w:tabs>
        <w:spacing w:before="60" w:line="240" w:lineRule="exact"/>
        <w:jc w:val="both"/>
      </w:pPr>
      <w:r>
        <w:rPr>
          <w:rFonts w:ascii="Times" w:hAnsi="Times"/>
        </w:rPr>
        <w:t xml:space="preserve">I risultati di apprendimento attesi riguardo alla </w:t>
      </w:r>
      <w:r>
        <w:rPr>
          <w:rFonts w:ascii="Times" w:hAnsi="Times"/>
          <w:i/>
          <w:iCs/>
        </w:rPr>
        <w:t>capacità di applicare conoscenze e comprensione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  <w:i/>
          <w:iCs/>
        </w:rPr>
        <w:t>applying</w:t>
      </w:r>
      <w:proofErr w:type="spellEnd"/>
      <w:r>
        <w:rPr>
          <w:rFonts w:ascii="Times" w:hAnsi="Times"/>
          <w:i/>
          <w:iCs/>
        </w:rPr>
        <w:t xml:space="preserve"> knowledge and </w:t>
      </w:r>
      <w:proofErr w:type="spellStart"/>
      <w:r>
        <w:rPr>
          <w:rFonts w:ascii="Times" w:hAnsi="Times"/>
          <w:i/>
          <w:iCs/>
        </w:rPr>
        <w:t>understanding</w:t>
      </w:r>
      <w:proofErr w:type="spellEnd"/>
      <w:r>
        <w:rPr>
          <w:rFonts w:ascii="Times" w:hAnsi="Times"/>
        </w:rPr>
        <w:t>) sono:</w:t>
      </w:r>
    </w:p>
    <w:p w14:paraId="0D6651F6" w14:textId="77777777" w:rsidR="000B02DB" w:rsidRDefault="00000000">
      <w:pPr>
        <w:numPr>
          <w:ilvl w:val="0"/>
          <w:numId w:val="3"/>
        </w:numPr>
        <w:spacing w:before="80"/>
        <w:jc w:val="both"/>
      </w:pPr>
      <w:r>
        <w:t>sapersi confrontare in modo consapevole e critico rispetto alle questioni emergenti che hanno a che fare con la cultura digitale e il digitale, nelle dinamiche tipiche del rapporto con gli schermi;</w:t>
      </w:r>
    </w:p>
    <w:p w14:paraId="2962F65A" w14:textId="77777777" w:rsidR="000B02DB" w:rsidRDefault="00000000">
      <w:pPr>
        <w:numPr>
          <w:ilvl w:val="0"/>
          <w:numId w:val="3"/>
        </w:numPr>
        <w:spacing w:before="80"/>
        <w:jc w:val="both"/>
      </w:pPr>
      <w:r>
        <w:t>saper leggere criticamente le metodologie messe in atto in specifici progetti e precisi contesti;</w:t>
      </w:r>
    </w:p>
    <w:p w14:paraId="5491A612" w14:textId="77777777" w:rsidR="000B02DB" w:rsidRDefault="00000000">
      <w:pPr>
        <w:numPr>
          <w:ilvl w:val="0"/>
          <w:numId w:val="3"/>
        </w:numPr>
        <w:spacing w:before="80"/>
        <w:jc w:val="both"/>
      </w:pPr>
      <w:r>
        <w:t>saper costruire e realizzare interventi in diversi contesti educativi;</w:t>
      </w:r>
    </w:p>
    <w:p w14:paraId="729CF666" w14:textId="77777777" w:rsidR="000B02DB" w:rsidRDefault="00000000">
      <w:pPr>
        <w:numPr>
          <w:ilvl w:val="0"/>
          <w:numId w:val="3"/>
        </w:numPr>
        <w:spacing w:before="80"/>
        <w:jc w:val="both"/>
      </w:pPr>
      <w:r>
        <w:t>giustificare in modo coerente le scelte metodologiche che intende mettere in atto nella realizzazione di interventi concreti.</w:t>
      </w:r>
    </w:p>
    <w:p w14:paraId="0AA59C8C" w14:textId="77777777" w:rsidR="000B02DB" w:rsidRDefault="00000000" w:rsidP="00310B44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184"/>
        </w:tabs>
        <w:spacing w:before="240" w:after="120"/>
        <w:ind w:left="284" w:hanging="284"/>
        <w:jc w:val="both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Programma del corso</w:t>
      </w:r>
    </w:p>
    <w:p w14:paraId="0E735325" w14:textId="77777777" w:rsidR="000B02DB" w:rsidRDefault="00000000" w:rsidP="00310B44">
      <w:pPr>
        <w:numPr>
          <w:ilvl w:val="0"/>
          <w:numId w:val="3"/>
        </w:numPr>
        <w:ind w:left="714" w:hanging="357"/>
        <w:jc w:val="both"/>
      </w:pPr>
      <w:r>
        <w:t>Il problema del metodo educativo;</w:t>
      </w:r>
    </w:p>
    <w:p w14:paraId="79497353" w14:textId="77777777" w:rsidR="000B02DB" w:rsidRDefault="00000000">
      <w:pPr>
        <w:numPr>
          <w:ilvl w:val="0"/>
          <w:numId w:val="3"/>
        </w:numPr>
        <w:jc w:val="both"/>
      </w:pPr>
      <w:r>
        <w:t>Lavorare con l’infanzia e l’adolescenza: questioni di riferimento attraverso alcuni autori chiave;</w:t>
      </w:r>
    </w:p>
    <w:p w14:paraId="11DA42E6" w14:textId="77777777" w:rsidR="000B02DB" w:rsidRDefault="00000000">
      <w:pPr>
        <w:numPr>
          <w:ilvl w:val="0"/>
          <w:numId w:val="3"/>
        </w:numPr>
        <w:jc w:val="both"/>
      </w:pPr>
      <w:r>
        <w:t>Il cervello adolescente;</w:t>
      </w:r>
    </w:p>
    <w:p w14:paraId="7D451BE3" w14:textId="77777777" w:rsidR="000B02DB" w:rsidRDefault="00000000">
      <w:pPr>
        <w:numPr>
          <w:ilvl w:val="0"/>
          <w:numId w:val="3"/>
        </w:numPr>
        <w:jc w:val="both"/>
      </w:pPr>
      <w:r>
        <w:t>La pedagogia del contratto (</w:t>
      </w:r>
      <w:proofErr w:type="spellStart"/>
      <w:r>
        <w:t>Meirieu</w:t>
      </w:r>
      <w:proofErr w:type="spellEnd"/>
      <w:r>
        <w:t>);</w:t>
      </w:r>
    </w:p>
    <w:p w14:paraId="5F4BC55B" w14:textId="77777777" w:rsidR="000B02DB" w:rsidRDefault="00000000">
      <w:pPr>
        <w:numPr>
          <w:ilvl w:val="0"/>
          <w:numId w:val="3"/>
        </w:numPr>
        <w:jc w:val="both"/>
      </w:pPr>
      <w:r>
        <w:t>La cultura digitale come cornice e oggetto del lavoro educativo;</w:t>
      </w:r>
    </w:p>
    <w:p w14:paraId="78DF117E" w14:textId="77777777" w:rsidR="000B02DB" w:rsidRDefault="00000000">
      <w:pPr>
        <w:numPr>
          <w:ilvl w:val="0"/>
          <w:numId w:val="3"/>
        </w:numPr>
        <w:jc w:val="both"/>
      </w:pPr>
      <w:r>
        <w:t>Le metodologie per la prevenzione del disagio e dei comportamenti a rischio;</w:t>
      </w:r>
    </w:p>
    <w:p w14:paraId="20AEFC05" w14:textId="77777777" w:rsidR="000B02DB" w:rsidRDefault="00000000">
      <w:pPr>
        <w:numPr>
          <w:ilvl w:val="0"/>
          <w:numId w:val="3"/>
        </w:numPr>
        <w:jc w:val="both"/>
      </w:pPr>
      <w:r>
        <w:t xml:space="preserve">La </w:t>
      </w:r>
      <w:proofErr w:type="spellStart"/>
      <w:r>
        <w:t>Peer&amp;Media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: origini, tecniche e finalità.</w:t>
      </w:r>
    </w:p>
    <w:p w14:paraId="504AFA91" w14:textId="2853B3B2" w:rsidR="000B02DB" w:rsidRDefault="00000000" w:rsidP="00310B44">
      <w:pPr>
        <w:numPr>
          <w:ilvl w:val="0"/>
          <w:numId w:val="3"/>
        </w:numPr>
        <w:jc w:val="both"/>
      </w:pPr>
      <w:r>
        <w:t xml:space="preserve">Esempi e casi di progettazioni nell’ambito della </w:t>
      </w:r>
      <w:proofErr w:type="spellStart"/>
      <w:r>
        <w:t>Peer&amp;Media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14:paraId="677B671D" w14:textId="77777777" w:rsidR="000B02DB" w:rsidRDefault="00000000">
      <w:pPr>
        <w:spacing w:before="240"/>
        <w:jc w:val="both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Bibliografia</w:t>
      </w:r>
      <w:r>
        <w:rPr>
          <w:b/>
          <w:bCs/>
          <w:i/>
          <w:iCs/>
          <w:smallCaps/>
          <w:vertAlign w:val="superscript"/>
        </w:rPr>
        <w:footnoteReference w:id="2"/>
      </w:r>
    </w:p>
    <w:p w14:paraId="042FA698" w14:textId="169A0554" w:rsidR="000B02DB" w:rsidRPr="00310B44" w:rsidRDefault="00000000" w:rsidP="00310B44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310B44">
        <w:rPr>
          <w:sz w:val="20"/>
          <w:szCs w:val="20"/>
        </w:rPr>
        <w:t>G. OTTOLINI</w:t>
      </w:r>
      <w:r w:rsidR="00E87279">
        <w:rPr>
          <w:sz w:val="20"/>
          <w:szCs w:val="20"/>
        </w:rPr>
        <w:t xml:space="preserve"> -</w:t>
      </w:r>
      <w:r w:rsidRPr="00310B44">
        <w:rPr>
          <w:sz w:val="20"/>
          <w:szCs w:val="20"/>
        </w:rPr>
        <w:t xml:space="preserve"> P. C. RIVOLTELLA. </w:t>
      </w:r>
      <w:bookmarkEnd w:id="0"/>
      <w:r w:rsidRPr="00310B44">
        <w:rPr>
          <w:sz w:val="20"/>
          <w:szCs w:val="20"/>
        </w:rPr>
        <w:t xml:space="preserve">Il tunnel e il kayak. Teoria e metodo della Peer &amp; Media </w:t>
      </w:r>
      <w:proofErr w:type="spellStart"/>
      <w:r w:rsidRPr="00310B44">
        <w:rPr>
          <w:sz w:val="20"/>
          <w:szCs w:val="20"/>
        </w:rPr>
        <w:t>Education</w:t>
      </w:r>
      <w:proofErr w:type="spellEnd"/>
      <w:r w:rsidRPr="00310B44">
        <w:rPr>
          <w:sz w:val="20"/>
          <w:szCs w:val="20"/>
        </w:rPr>
        <w:t>, FrancoAngeli, Milano, 2015.</w:t>
      </w:r>
    </w:p>
    <w:p w14:paraId="3316CDA4" w14:textId="47F7FD67" w:rsidR="000B02DB" w:rsidRPr="00310B44" w:rsidRDefault="00E87279" w:rsidP="00310B44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000000" w:rsidRPr="00310B44">
        <w:rPr>
          <w:sz w:val="20"/>
          <w:szCs w:val="20"/>
        </w:rPr>
        <w:t>CARENZIO</w:t>
      </w:r>
      <w:r>
        <w:rPr>
          <w:sz w:val="20"/>
          <w:szCs w:val="20"/>
        </w:rPr>
        <w:t xml:space="preserve"> -</w:t>
      </w:r>
      <w:r w:rsidR="00000000" w:rsidRPr="00310B44">
        <w:rPr>
          <w:sz w:val="20"/>
          <w:szCs w:val="20"/>
        </w:rPr>
        <w:t xml:space="preserve"> E. FARINACCI, Dentro Black Mirror. Media, società, educazione, Morcelliana, Brescia</w:t>
      </w:r>
      <w:r>
        <w:rPr>
          <w:sz w:val="20"/>
          <w:szCs w:val="20"/>
        </w:rPr>
        <w:t>,</w:t>
      </w:r>
      <w:r w:rsidR="00000000" w:rsidRPr="00310B44">
        <w:rPr>
          <w:sz w:val="20"/>
          <w:szCs w:val="20"/>
        </w:rPr>
        <w:t xml:space="preserve"> 2023.</w:t>
      </w:r>
    </w:p>
    <w:p w14:paraId="69D8D76A" w14:textId="686483AA" w:rsidR="000B02DB" w:rsidRPr="00310B44" w:rsidRDefault="00000000" w:rsidP="00310B44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310B44">
        <w:rPr>
          <w:sz w:val="20"/>
          <w:szCs w:val="20"/>
        </w:rPr>
        <w:t>M. L. BOSONI</w:t>
      </w:r>
      <w:r w:rsidR="00E87279">
        <w:rPr>
          <w:sz w:val="20"/>
          <w:szCs w:val="20"/>
        </w:rPr>
        <w:t xml:space="preserve"> -</w:t>
      </w:r>
      <w:r w:rsidRPr="00310B44">
        <w:rPr>
          <w:sz w:val="20"/>
          <w:szCs w:val="20"/>
        </w:rPr>
        <w:t xml:space="preserve"> D. BRAMANTI (a cura di), Famiglie, infanzia e servizi educativi. Partecipazione, reti, alleanze. Vita e Pensiero, Milano</w:t>
      </w:r>
      <w:r w:rsidR="00E87279">
        <w:rPr>
          <w:sz w:val="20"/>
          <w:szCs w:val="20"/>
        </w:rPr>
        <w:t>,</w:t>
      </w:r>
      <w:r w:rsidRPr="00310B44">
        <w:rPr>
          <w:sz w:val="20"/>
          <w:szCs w:val="20"/>
        </w:rPr>
        <w:t xml:space="preserve"> 2021.</w:t>
      </w:r>
    </w:p>
    <w:p w14:paraId="55654C5F" w14:textId="731BFBD4" w:rsidR="000B02DB" w:rsidRPr="00310B44" w:rsidRDefault="00000000" w:rsidP="00310B44">
      <w:pPr>
        <w:pStyle w:val="Paragrafoelenco"/>
        <w:numPr>
          <w:ilvl w:val="0"/>
          <w:numId w:val="3"/>
        </w:numPr>
        <w:jc w:val="both"/>
        <w:rPr>
          <w:sz w:val="20"/>
          <w:szCs w:val="20"/>
          <w:u w:color="0070C0"/>
        </w:rPr>
      </w:pPr>
      <w:r w:rsidRPr="00310B44">
        <w:rPr>
          <w:sz w:val="20"/>
          <w:szCs w:val="20"/>
        </w:rPr>
        <w:t>P. C. RIVOLTELLA, Nuovi alfabeti, Morcelliana, Brescia</w:t>
      </w:r>
      <w:r w:rsidR="00E87279">
        <w:rPr>
          <w:sz w:val="20"/>
          <w:szCs w:val="20"/>
        </w:rPr>
        <w:t>,</w:t>
      </w:r>
      <w:r w:rsidRPr="00310B44">
        <w:rPr>
          <w:sz w:val="20"/>
          <w:szCs w:val="20"/>
        </w:rPr>
        <w:t xml:space="preserve"> 2020.</w:t>
      </w:r>
    </w:p>
    <w:p w14:paraId="2A2FB99F" w14:textId="27A6C20D" w:rsidR="000B02DB" w:rsidRDefault="00000000" w:rsidP="00310B44">
      <w:pPr>
        <w:spacing w:before="240" w:after="120"/>
        <w:jc w:val="both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Didattica del corso</w:t>
      </w:r>
    </w:p>
    <w:p w14:paraId="03F0CBD4" w14:textId="77777777" w:rsidR="000B02DB" w:rsidRDefault="00000000" w:rsidP="00310B44">
      <w:pPr>
        <w:spacing w:before="120"/>
        <w:jc w:val="both"/>
      </w:pPr>
      <w:r>
        <w:t xml:space="preserve">Il corso segue un’impostazione didattica integrata e prevede lezioni frontali in aula e alcune lezioni in forma seminariale in compresenza con specialisti, attraverso l’utilizzo di una didattica interattiva, con sessioni dedicate al </w:t>
      </w:r>
      <w:proofErr w:type="spellStart"/>
      <w:r>
        <w:t>trouble</w:t>
      </w:r>
      <w:proofErr w:type="spellEnd"/>
      <w:r>
        <w:t xml:space="preserve"> shooting e attività esercitative. </w:t>
      </w:r>
    </w:p>
    <w:p w14:paraId="47C826EF" w14:textId="77777777" w:rsidR="000B02DB" w:rsidRDefault="00000000">
      <w:pPr>
        <w:spacing w:before="120" w:line="240" w:lineRule="atLeast"/>
        <w:jc w:val="both"/>
      </w:pPr>
      <w:r>
        <w:t xml:space="preserve">Il corso prevede, inoltre, la possibilità di seguire un MOOC (corso online e gratuito dell’Università Cattolica erogato tramite la piattaforma </w:t>
      </w:r>
      <w:proofErr w:type="spellStart"/>
      <w:r>
        <w:t>Edu</w:t>
      </w:r>
      <w:proofErr w:type="spellEnd"/>
      <w:r>
        <w:t xml:space="preserve"> Open). Non si tratta di un obbligo, ma di una scelta da parte dello studente. Il MOOC sarà segnalato all’inizio del corso.</w:t>
      </w:r>
    </w:p>
    <w:p w14:paraId="648A6B06" w14:textId="77777777" w:rsidR="000B02DB" w:rsidRDefault="00000000">
      <w:pPr>
        <w:spacing w:before="120" w:line="240" w:lineRule="atLeast"/>
        <w:jc w:val="both"/>
      </w:pPr>
      <w:r>
        <w:t xml:space="preserve">Il materiale delle lezioni (articoli, video stimoli, slide) è a disposizione nella piattaforma </w:t>
      </w:r>
      <w:proofErr w:type="spellStart"/>
      <w:r>
        <w:t>Blackboard</w:t>
      </w:r>
      <w:proofErr w:type="spellEnd"/>
      <w:r>
        <w:t>, organizzato in cartelle ed è parte integrante dello studio chiesto agli studenti.</w:t>
      </w:r>
    </w:p>
    <w:p w14:paraId="2D38BAF8" w14:textId="77777777" w:rsidR="000B02DB" w:rsidRDefault="00000000">
      <w:pPr>
        <w:spacing w:before="60"/>
        <w:jc w:val="both"/>
      </w:pPr>
      <w:r>
        <w:t>Durante le lezioni verrà utilizzata la cornice del BYOD (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device) per veloci attività pratiche o di analisi di app e risorse digitali.</w:t>
      </w:r>
    </w:p>
    <w:p w14:paraId="0F036205" w14:textId="77777777" w:rsidR="000B02DB" w:rsidRDefault="00000000">
      <w:pPr>
        <w:spacing w:before="240" w:after="120"/>
        <w:jc w:val="both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Metodi e criteri di valutazione</w:t>
      </w:r>
    </w:p>
    <w:p w14:paraId="0FD41A7C" w14:textId="77777777" w:rsidR="000B02DB" w:rsidRDefault="00000000" w:rsidP="00310B44">
      <w:pPr>
        <w:spacing w:before="120"/>
        <w:jc w:val="both"/>
      </w:pPr>
      <w:r>
        <w:t>L’accertamento di risultati di apprendimento avverrà attraverso un colloquio orale con domande sui contenuti del corso e la discussione di un progetto costruito dallo studente nel corso delle lezioni per accertare la capacità di leggere criticamente le situazioni e di applicare i concetti studiati alla pratica. Il progetto dovrà essere inviato via mail alla docente, una settimana prima dell’esame.</w:t>
      </w:r>
    </w:p>
    <w:p w14:paraId="5708B128" w14:textId="77777777" w:rsidR="000B02DB" w:rsidRDefault="00000000">
      <w:pPr>
        <w:jc w:val="both"/>
      </w:pPr>
      <w:r>
        <w:t>L’esame verrà valutato prendendo in considerazione i seguenti criteri: coerenza, chiarezza, lessico e completezza per la prima parte; coerenza, chiarezza, capacità di analisi critica, capacità di elaborazione di soluzioni operative, capacità di applicazione dei concetti studiati, lessico per il progetto. Verranno messe a disposizione due rubriche, fornite a inizio anno, orientative del lavoro di preparazione all’orale e di scrittura del progetto, costruito durante il secondo semestre per step progressivi. Il voto finale terrà complessivamente in considerazione l’esito delle due valutazioni.</w:t>
      </w:r>
    </w:p>
    <w:p w14:paraId="0CFC39C1" w14:textId="77777777" w:rsidR="000B02DB" w:rsidRDefault="00000000">
      <w:pPr>
        <w:spacing w:before="240"/>
        <w:jc w:val="both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Avvertenze e prerequisiti</w:t>
      </w:r>
    </w:p>
    <w:p w14:paraId="434066DF" w14:textId="77777777" w:rsidR="000B02DB" w:rsidRDefault="00000000">
      <w:pPr>
        <w:spacing w:before="240"/>
        <w:jc w:val="both"/>
        <w:rPr>
          <w:color w:val="201F1E"/>
          <w:u w:color="201F1E"/>
        </w:rPr>
      </w:pPr>
      <w:r>
        <w:t xml:space="preserve">Per quanto riguarda la bibliografia, lo studente, alla luce degli studi precedentemente svolti, può chiedere la personalizzazione di una parte del programma. I contenuti di questa personalizzazione dovranno essere concordati con il docente attraverso un colloquio. L’insegnamento non necessita di prerequisiti relativi ai contenuti. </w:t>
      </w:r>
    </w:p>
    <w:p w14:paraId="18B756F9" w14:textId="77777777" w:rsidR="000B02DB" w:rsidRDefault="00000000">
      <w:pPr>
        <w:spacing w:before="240"/>
        <w:jc w:val="both"/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Orario e luogo di ricevimento degli studenti</w:t>
      </w:r>
    </w:p>
    <w:p w14:paraId="4C905FC1" w14:textId="09375371" w:rsidR="000B02DB" w:rsidRDefault="00000000">
      <w:pPr>
        <w:pStyle w:val="Testo2"/>
        <w:spacing w:before="240" w:line="240" w:lineRule="auto"/>
        <w:ind w:firstLine="0"/>
      </w:pPr>
      <w:r>
        <w:rPr>
          <w:rFonts w:ascii="Times New Roman" w:hAnsi="Times New Roman"/>
          <w:sz w:val="20"/>
          <w:szCs w:val="20"/>
        </w:rPr>
        <w:t xml:space="preserve">La Prof.ssa Alessandra Carenzio riceve gli studenti su appuntamento </w:t>
      </w:r>
      <w:r w:rsidR="00E87279">
        <w:rPr>
          <w:rFonts w:ascii="Times New Roman" w:hAnsi="Times New Roman"/>
          <w:sz w:val="20"/>
          <w:szCs w:val="20"/>
        </w:rPr>
        <w:t>(</w:t>
      </w:r>
      <w:hyperlink r:id="rId7" w:history="1">
        <w:r w:rsidR="00E87279" w:rsidRPr="00CA378E">
          <w:rPr>
            <w:rStyle w:val="Collegamentoipertestuale"/>
            <w:sz w:val="20"/>
            <w:szCs w:val="20"/>
          </w:rPr>
          <w:t>alessandra.carenzio@unicatt.it</w:t>
        </w:r>
      </w:hyperlink>
      <w:r>
        <w:rPr>
          <w:rStyle w:val="Nessuno"/>
          <w:rFonts w:ascii="Times New Roman" w:hAnsi="Times New Roman"/>
          <w:sz w:val="20"/>
          <w:szCs w:val="20"/>
        </w:rPr>
        <w:t>)</w:t>
      </w:r>
      <w:r w:rsidR="00E87279">
        <w:rPr>
          <w:rStyle w:val="Nessuno"/>
          <w:rFonts w:ascii="Times New Roman" w:hAnsi="Times New Roman"/>
          <w:sz w:val="20"/>
          <w:szCs w:val="20"/>
        </w:rPr>
        <w:t>;</w:t>
      </w:r>
      <w:r>
        <w:rPr>
          <w:rStyle w:val="Nessuno"/>
          <w:rFonts w:ascii="Times New Roman" w:hAnsi="Times New Roman"/>
          <w:sz w:val="20"/>
          <w:szCs w:val="20"/>
        </w:rPr>
        <w:t xml:space="preserve"> si consiglia di verificare sempre gli aggiornamenti nella pagina docente, nel caso di modifiche o di ulteriori spazi a disposizione.</w:t>
      </w:r>
    </w:p>
    <w:sectPr w:rsidR="000B02DB">
      <w:headerReference w:type="default" r:id="rId8"/>
      <w:footerReference w:type="default" r:id="rId9"/>
      <w:pgSz w:w="11900" w:h="16840"/>
      <w:pgMar w:top="3515" w:right="2608" w:bottom="3515" w:left="260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EEA3" w14:textId="77777777" w:rsidR="004A24F0" w:rsidRDefault="004A24F0">
      <w:r>
        <w:separator/>
      </w:r>
    </w:p>
  </w:endnote>
  <w:endnote w:type="continuationSeparator" w:id="0">
    <w:p w14:paraId="624BA873" w14:textId="77777777" w:rsidR="004A24F0" w:rsidRDefault="004A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1CB9" w14:textId="77777777" w:rsidR="000B02DB" w:rsidRDefault="000B02D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9BA7" w14:textId="77777777" w:rsidR="004A24F0" w:rsidRDefault="004A24F0">
      <w:r>
        <w:separator/>
      </w:r>
    </w:p>
  </w:footnote>
  <w:footnote w:type="continuationSeparator" w:id="0">
    <w:p w14:paraId="58FD3666" w14:textId="77777777" w:rsidR="004A24F0" w:rsidRDefault="004A24F0">
      <w:r>
        <w:continuationSeparator/>
      </w:r>
    </w:p>
  </w:footnote>
  <w:footnote w:type="continuationNotice" w:id="1">
    <w:p w14:paraId="3F0935DC" w14:textId="77777777" w:rsidR="004A24F0" w:rsidRDefault="004A24F0"/>
  </w:footnote>
  <w:footnote w:id="2">
    <w:p w14:paraId="270E3AD8" w14:textId="77777777" w:rsidR="000B02DB" w:rsidRDefault="00000000">
      <w:r>
        <w:rPr>
          <w:b/>
          <w:bCs/>
          <w:i/>
          <w:iCs/>
          <w:smallCaps/>
          <w:vertAlign w:val="superscript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B4A6" w14:textId="77777777" w:rsidR="000B02DB" w:rsidRDefault="000B02D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096"/>
    <w:multiLevelType w:val="hybridMultilevel"/>
    <w:tmpl w:val="9CF28C4E"/>
    <w:numStyleLink w:val="Stileimportato1"/>
  </w:abstractNum>
  <w:abstractNum w:abstractNumId="1" w15:restartNumberingAfterBreak="0">
    <w:nsid w:val="27D55C11"/>
    <w:multiLevelType w:val="hybridMultilevel"/>
    <w:tmpl w:val="9CF28C4E"/>
    <w:styleLink w:val="Stileimportato1"/>
    <w:lvl w:ilvl="0" w:tplc="06C65C46">
      <w:start w:val="1"/>
      <w:numFmt w:val="bullet"/>
      <w:lvlText w:val="-"/>
      <w:lvlJc w:val="left"/>
      <w:pPr>
        <w:ind w:left="34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2745C">
      <w:start w:val="1"/>
      <w:numFmt w:val="bullet"/>
      <w:lvlText w:val="o"/>
      <w:lvlJc w:val="left"/>
      <w:pPr>
        <w:ind w:left="106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031C0">
      <w:start w:val="1"/>
      <w:numFmt w:val="bullet"/>
      <w:lvlText w:val="▪"/>
      <w:lvlJc w:val="left"/>
      <w:pPr>
        <w:ind w:left="178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060C76">
      <w:start w:val="1"/>
      <w:numFmt w:val="bullet"/>
      <w:lvlText w:val="•"/>
      <w:lvlJc w:val="left"/>
      <w:pPr>
        <w:ind w:left="250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2CB392">
      <w:start w:val="1"/>
      <w:numFmt w:val="bullet"/>
      <w:lvlText w:val="o"/>
      <w:lvlJc w:val="left"/>
      <w:pPr>
        <w:ind w:left="322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EBD7A">
      <w:start w:val="1"/>
      <w:numFmt w:val="bullet"/>
      <w:lvlText w:val="▪"/>
      <w:lvlJc w:val="left"/>
      <w:pPr>
        <w:ind w:left="394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66F8E">
      <w:start w:val="1"/>
      <w:numFmt w:val="bullet"/>
      <w:lvlText w:val="•"/>
      <w:lvlJc w:val="left"/>
      <w:pPr>
        <w:ind w:left="466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2279C8">
      <w:start w:val="1"/>
      <w:numFmt w:val="bullet"/>
      <w:lvlText w:val="o"/>
      <w:lvlJc w:val="left"/>
      <w:pPr>
        <w:ind w:left="538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2310A">
      <w:start w:val="1"/>
      <w:numFmt w:val="bullet"/>
      <w:lvlText w:val="▪"/>
      <w:lvlJc w:val="left"/>
      <w:pPr>
        <w:ind w:left="6100" w:hanging="1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21834500">
    <w:abstractNumId w:val="1"/>
  </w:num>
  <w:num w:numId="2" w16cid:durableId="2058578864">
    <w:abstractNumId w:val="0"/>
  </w:num>
  <w:num w:numId="3" w16cid:durableId="769620311">
    <w:abstractNumId w:val="0"/>
    <w:lvlOverride w:ilvl="0">
      <w:lvl w:ilvl="0" w:tplc="A3E6554C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06623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F4F596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CEA2B4">
        <w:start w:val="1"/>
        <w:numFmt w:val="bullet"/>
        <w:lvlText w:val="•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0AFEC4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8A6480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C45614">
        <w:start w:val="1"/>
        <w:numFmt w:val="bullet"/>
        <w:lvlText w:val="•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144500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4C352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DB"/>
    <w:rsid w:val="000B02DB"/>
    <w:rsid w:val="001D24FB"/>
    <w:rsid w:val="00246829"/>
    <w:rsid w:val="00310B44"/>
    <w:rsid w:val="004A24F0"/>
    <w:rsid w:val="00E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52AB"/>
  <w15:docId w15:val="{010C765C-418F-4813-BD4A-F72DCB3D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20"/>
      <w:szCs w:val="20"/>
      <w:u w:val="single" w:color="0000FF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ssandra.carenzi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Sonlieti Cleonice</dc:creator>
  <cp:lastModifiedBy>.</cp:lastModifiedBy>
  <cp:revision>3</cp:revision>
  <dcterms:created xsi:type="dcterms:W3CDTF">2023-07-17T16:14:00Z</dcterms:created>
  <dcterms:modified xsi:type="dcterms:W3CDTF">2023-07-17T16:17:00Z</dcterms:modified>
</cp:coreProperties>
</file>