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7D49" w14:textId="77777777" w:rsidR="008537D7" w:rsidRPr="008537D7" w:rsidRDefault="008537D7" w:rsidP="008537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jc w:val="both"/>
        <w:rPr>
          <w:rFonts w:ascii="Times" w:hAnsi="Times" w:cs="Times"/>
          <w:b/>
          <w:bCs/>
          <w:color w:val="auto"/>
          <w:sz w:val="20"/>
        </w:rPr>
      </w:pPr>
      <w:r w:rsidRPr="008537D7">
        <w:rPr>
          <w:rFonts w:ascii="Times" w:hAnsi="Times" w:cs="Times"/>
          <w:b/>
          <w:bCs/>
          <w:color w:val="auto"/>
          <w:sz w:val="20"/>
        </w:rPr>
        <w:t xml:space="preserve">-. Elementi di Didattica e Pedagogia Speciale </w:t>
      </w:r>
    </w:p>
    <w:p w14:paraId="61A92F89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exact"/>
        <w:contextualSpacing/>
        <w:mirrorIndents/>
        <w:jc w:val="both"/>
        <w:rPr>
          <w:rFonts w:ascii="Times" w:hAnsi="Times" w:cs="Times"/>
          <w:smallCap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smallCaps/>
          <w:color w:val="auto"/>
          <w:sz w:val="20"/>
          <w:szCs w:val="20"/>
          <w:lang w:val="it-IT"/>
        </w:rPr>
        <w:t xml:space="preserve">Prof.ssa Patrizia Guardincerri - Prof.ssa Roberta Sala </w:t>
      </w:r>
    </w:p>
    <w:p w14:paraId="329188B1" w14:textId="77777777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0" w:after="120" w:line="240" w:lineRule="exact"/>
        <w:mirrorIndents/>
        <w:rPr>
          <w:rFonts w:ascii="Times" w:hAnsi="Times" w:cs="Times"/>
          <w:smallCap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smallCaps/>
          <w:color w:val="auto"/>
          <w:sz w:val="20"/>
          <w:szCs w:val="20"/>
          <w:lang w:val="it-IT"/>
        </w:rPr>
        <w:t>I MODULO</w:t>
      </w:r>
      <w:r w:rsidRPr="008537D7">
        <w:rPr>
          <w:rFonts w:ascii="Times" w:hAnsi="Times" w:cs="Times"/>
          <w:smallCaps/>
          <w:color w:val="auto"/>
          <w:sz w:val="20"/>
          <w:szCs w:val="20"/>
          <w:lang w:val="it-IT"/>
        </w:rPr>
        <w:t xml:space="preserve">: Prof.ssa Patrizia Guardincerri </w:t>
      </w:r>
    </w:p>
    <w:p w14:paraId="1435B3B0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OBIETTIVO DEL CORSO E RISULTATI DI APPRENDIMENTO ATTESI</w:t>
      </w:r>
    </w:p>
    <w:p w14:paraId="6B3B220E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L’insegnamento si propone di fornire alle studentesse e agli studenti gli elementi di base della didattica.</w:t>
      </w:r>
    </w:p>
    <w:p w14:paraId="569658F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Scopo dell’insegnamento è che le partecipanti e i partecipanti acquisiscano conoscenze e comprendano l’agire didattico in situazioni educative rivolte principalmente alla primissima infanzia, ma possano avvicinarsi anche ad agenzie educative diverse dal nido, alle loro finalità e al loro ruolo all’interno dell’attuale scenario sociale.</w:t>
      </w:r>
    </w:p>
    <w:p w14:paraId="60E0BCF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Risultati di apprendimento attesi</w:t>
      </w:r>
    </w:p>
    <w:p w14:paraId="28BD845B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Al termine dell’insegnamento la studentessa e lo studente saranno in grado di:</w:t>
      </w:r>
    </w:p>
    <w:p w14:paraId="098B54E1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conoscere gli elementi di base della didattica nella sua triplice declinazione di scienza, metodo ed arte, volta alla promozione di apprendimenti significativi;</w:t>
      </w:r>
    </w:p>
    <w:p w14:paraId="4143E998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utilizzare il quadro normativo relativo ai servizi per la prima infanzia;</w:t>
      </w:r>
    </w:p>
    <w:p w14:paraId="65654C5A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conoscere uno degli strumenti di valutazione più adatti ai servizi per la primissima infanzia;</w:t>
      </w:r>
    </w:p>
    <w:p w14:paraId="7A2EF441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riconoscere la complessità delle situazioni educative e didattiche;</w:t>
      </w:r>
    </w:p>
    <w:p w14:paraId="765D6077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individuare metodi, strategie, strumenti e materiali adatti alle situazioni di apprendimento;</w:t>
      </w:r>
    </w:p>
    <w:p w14:paraId="774AA2FF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esaminare un ambiente di apprendimento;</w:t>
      </w:r>
    </w:p>
    <w:p w14:paraId="055C14E4" w14:textId="77777777" w:rsidR="008537D7" w:rsidRPr="008537D7" w:rsidRDefault="008537D7" w:rsidP="008537D7">
      <w:pPr>
        <w:pStyle w:val="Testo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apprezzare le risorse personali nelle situazioni didattiche</w:t>
      </w:r>
    </w:p>
    <w:p w14:paraId="389A12DF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PROGRAMMA DEL CORSO</w:t>
      </w:r>
    </w:p>
    <w:p w14:paraId="09D2B6A7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La normativa nazionale relativa ai servizi per l’infanzia, con cenni alla normativa regionale.</w:t>
      </w:r>
    </w:p>
    <w:p w14:paraId="73B5DCA3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La scoperta del bambino e del metodo attraverso il discorso scientifico di Maria Montessori.</w:t>
      </w:r>
    </w:p>
    <w:p w14:paraId="22DE4D5B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Le buone pratiche nei servizi per l’infanzia.</w:t>
      </w:r>
    </w:p>
    <w:p w14:paraId="454A6484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La vita quotidiana al nido d’infanzia: i tempi e gli spazi, i soggetti e gli oggetti.</w:t>
      </w:r>
    </w:p>
    <w:p w14:paraId="51FEE83B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La Scala per la Valutazione dell’Asilo Nido.</w:t>
      </w:r>
    </w:p>
    <w:p w14:paraId="3B1FF5D4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Una parte della proposta didattica di Reggio Children.</w:t>
      </w:r>
    </w:p>
    <w:p w14:paraId="54268A0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b/>
          <w:i/>
          <w:color w:val="auto"/>
          <w:sz w:val="20"/>
        </w:rPr>
      </w:pPr>
      <w:r w:rsidRPr="008537D7">
        <w:rPr>
          <w:rFonts w:cs="Times"/>
          <w:color w:val="auto"/>
          <w:sz w:val="20"/>
        </w:rPr>
        <w:t>La figura educativa di don Lorenzo Milani.</w:t>
      </w:r>
    </w:p>
    <w:p w14:paraId="1E83DE36" w14:textId="77777777" w:rsid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</w:p>
    <w:p w14:paraId="658AEBDD" w14:textId="018D22FC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lastRenderedPageBreak/>
        <w:t>BIBLIOGRAFIA</w:t>
      </w:r>
    </w:p>
    <w:p w14:paraId="1D8760A4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Testi di leggi ed altro materiale caricato su </w:t>
      </w:r>
      <w:proofErr w:type="spellStart"/>
      <w:r w:rsidRPr="008537D7">
        <w:rPr>
          <w:rFonts w:cs="Times"/>
          <w:color w:val="auto"/>
          <w:sz w:val="20"/>
        </w:rPr>
        <w:t>blackboard</w:t>
      </w:r>
      <w:proofErr w:type="spellEnd"/>
      <w:r w:rsidRPr="008537D7">
        <w:rPr>
          <w:rFonts w:cs="Times"/>
          <w:color w:val="auto"/>
          <w:sz w:val="20"/>
        </w:rPr>
        <w:t>, parte integrante dell’esame.</w:t>
      </w:r>
    </w:p>
    <w:p w14:paraId="6D9347D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Ministero dell’Istruzione, Linee pedagogiche per il sistema integrato </w:t>
      </w:r>
      <w:proofErr w:type="spellStart"/>
      <w:r w:rsidRPr="008537D7">
        <w:rPr>
          <w:rFonts w:cs="Times"/>
          <w:color w:val="auto"/>
          <w:sz w:val="20"/>
        </w:rPr>
        <w:t>zerosei</w:t>
      </w:r>
      <w:proofErr w:type="spellEnd"/>
    </w:p>
    <w:p w14:paraId="46391D1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>M. Montessori</w:t>
      </w:r>
      <w:r w:rsidRPr="008537D7">
        <w:rPr>
          <w:rFonts w:cs="Times"/>
          <w:color w:val="auto"/>
          <w:sz w:val="20"/>
        </w:rPr>
        <w:t>, Il segreto dell’infanzia, Garzanti, Milano, 1999 o altra edizione purché integrale.</w:t>
      </w:r>
    </w:p>
    <w:p w14:paraId="181EB8FB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 xml:space="preserve">T. </w:t>
      </w:r>
      <w:proofErr w:type="spellStart"/>
      <w:r w:rsidRPr="008537D7">
        <w:rPr>
          <w:rFonts w:cs="Times"/>
          <w:smallCaps/>
          <w:color w:val="auto"/>
          <w:sz w:val="20"/>
        </w:rPr>
        <w:t>Harms</w:t>
      </w:r>
      <w:proofErr w:type="spellEnd"/>
      <w:r w:rsidRPr="008537D7">
        <w:rPr>
          <w:rFonts w:cs="Times"/>
          <w:smallCaps/>
          <w:color w:val="auto"/>
          <w:sz w:val="20"/>
        </w:rPr>
        <w:t xml:space="preserve"> - D. </w:t>
      </w:r>
      <w:proofErr w:type="spellStart"/>
      <w:r w:rsidRPr="008537D7">
        <w:rPr>
          <w:rFonts w:cs="Times"/>
          <w:smallCaps/>
          <w:color w:val="auto"/>
          <w:sz w:val="20"/>
        </w:rPr>
        <w:t>Cryer</w:t>
      </w:r>
      <w:proofErr w:type="spellEnd"/>
      <w:r w:rsidRPr="008537D7">
        <w:rPr>
          <w:rFonts w:cs="Times"/>
          <w:smallCaps/>
          <w:color w:val="auto"/>
          <w:sz w:val="20"/>
        </w:rPr>
        <w:t xml:space="preserve"> - R. M. Cliffo</w:t>
      </w:r>
      <w:r w:rsidRPr="008537D7">
        <w:rPr>
          <w:rFonts w:cs="Times"/>
          <w:color w:val="auto"/>
          <w:sz w:val="20"/>
        </w:rPr>
        <w:t>rd, Scala per la Valutazione dell’Asilo Nido, FrancoAngeli, Milano, 1997 (presente nella nostra biblioteca); da studiare solo in parte.</w:t>
      </w:r>
    </w:p>
    <w:p w14:paraId="6DAB27A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Michele Gesualdi, Don Lorenzo Milani. L’esilio di Barbiana, San Paolo, Milano, 2017.</w:t>
      </w:r>
    </w:p>
    <w:p w14:paraId="5A1E4EB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A scelta uno dei seguenti titoli:</w:t>
      </w:r>
    </w:p>
    <w:p w14:paraId="57BFDE0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 xml:space="preserve">E. </w:t>
      </w:r>
      <w:proofErr w:type="spellStart"/>
      <w:r w:rsidRPr="008537D7">
        <w:rPr>
          <w:rFonts w:cs="Times"/>
          <w:smallCaps/>
          <w:color w:val="auto"/>
          <w:sz w:val="20"/>
        </w:rPr>
        <w:t>Goldschmied</w:t>
      </w:r>
      <w:proofErr w:type="spellEnd"/>
      <w:r w:rsidRPr="008537D7">
        <w:rPr>
          <w:rFonts w:cs="Times"/>
          <w:smallCaps/>
          <w:color w:val="auto"/>
          <w:sz w:val="20"/>
        </w:rPr>
        <w:t xml:space="preserve"> - S. Jackson</w:t>
      </w:r>
      <w:r w:rsidRPr="008537D7">
        <w:rPr>
          <w:rFonts w:cs="Times"/>
          <w:color w:val="auto"/>
          <w:sz w:val="20"/>
        </w:rPr>
        <w:t>, Persone da zero a tre anni. Crescere e lavorare nell’ambiente nido, Junior, Bergamo, 1996; ristampato dall’editore Spaggiari.</w:t>
      </w:r>
    </w:p>
    <w:p w14:paraId="76B6DC2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>B. Q. Borghi</w:t>
      </w:r>
      <w:r w:rsidRPr="008537D7">
        <w:rPr>
          <w:rFonts w:cs="Times"/>
          <w:color w:val="auto"/>
          <w:sz w:val="20"/>
        </w:rPr>
        <w:t>, Nido d’infanzia 1. Buone pratiche e problemi degli educatori, Erickson, Trento, 2007.</w:t>
      </w:r>
    </w:p>
    <w:p w14:paraId="6027F9C3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DIDATTICA DEL CORSO</w:t>
      </w:r>
    </w:p>
    <w:p w14:paraId="78A59FF4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Illustrazione dei testi di riferimento e spiegazione dei concetti e dei passaggi chiave; lettura diretta in aula di alcune parti dei volumi adottati o di volumi di altri autori; se possibile, incontri con testimoni privilegiati; visione di cortometraggi e relativa riflessione; analisi di situazioni didattiche. </w:t>
      </w:r>
    </w:p>
    <w:p w14:paraId="04F645FC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Durante il corso saranno particolarmente graditi i contributi e le domande volte a fare chiarezza sui temi trattati.</w:t>
      </w:r>
    </w:p>
    <w:p w14:paraId="76E78F36" w14:textId="61C60848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00" w:line="240" w:lineRule="exact"/>
        <w:mirrorIndents/>
        <w:rPr>
          <w:rFonts w:ascii="Times" w:hAnsi="Times" w:cs="Times"/>
          <w:smallCaps/>
          <w:color w:val="auto"/>
          <w:sz w:val="20"/>
          <w:szCs w:val="20"/>
          <w:lang w:val="it-IT"/>
        </w:rPr>
      </w:pPr>
      <w:proofErr w:type="gramStart"/>
      <w:r w:rsidRPr="008537D7">
        <w:rPr>
          <w:rFonts w:ascii="Times" w:hAnsi="Times" w:cs="Times"/>
          <w:b/>
          <w:bCs/>
          <w:smallCaps/>
          <w:color w:val="auto"/>
          <w:sz w:val="20"/>
          <w:szCs w:val="20"/>
          <w:lang w:val="it-IT"/>
        </w:rPr>
        <w:t>II</w:t>
      </w:r>
      <w:proofErr w:type="gramEnd"/>
      <w:r w:rsidRPr="008537D7">
        <w:rPr>
          <w:rFonts w:ascii="Times" w:hAnsi="Times" w:cs="Times"/>
          <w:b/>
          <w:bCs/>
          <w:smallCaps/>
          <w:color w:val="auto"/>
          <w:sz w:val="20"/>
          <w:szCs w:val="20"/>
          <w:lang w:val="it-IT"/>
        </w:rPr>
        <w:t xml:space="preserve"> MODULO</w:t>
      </w:r>
      <w:r w:rsidRPr="008537D7">
        <w:rPr>
          <w:rFonts w:ascii="Times" w:hAnsi="Times" w:cs="Times"/>
          <w:smallCaps/>
          <w:color w:val="auto"/>
          <w:sz w:val="20"/>
          <w:szCs w:val="20"/>
          <w:lang w:val="it-IT"/>
        </w:rPr>
        <w:t>: prof.ssa Roberta Sala</w:t>
      </w:r>
    </w:p>
    <w:p w14:paraId="2C6E1370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OBIETTIVO DEL CORSO E RISULTATI DI APPRENDIMENTO ATTESI</w:t>
      </w:r>
    </w:p>
    <w:p w14:paraId="15EC7D3E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Il secondo modulo è volto ad offrire le conoscenze necessarie a comprendere le questioni fondative della Pedagogia Speciale, con particolare riferimento alle tematiche pedagogiche legate alla disabilità, alla marginalità e ai bisogni educativi speciali delle persone che presentano criticità di vario tipo. </w:t>
      </w:r>
    </w:p>
    <w:p w14:paraId="2C8D66E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Scopo dell’insegnamento è di promuovere lo sviluppo della conoscenza relativa agli snodi epistemologici fondamentali della Pedagogia Speciale e di favorire la capacità di analisi critica su alcune questioni topiche relative all’inclusione delle persone con disabilità</w:t>
      </w:r>
    </w:p>
    <w:p w14:paraId="47B25CC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exact"/>
        <w:ind w:firstLine="0"/>
        <w:mirrorIndents/>
        <w:rPr>
          <w:rFonts w:cs="Times"/>
          <w:b/>
          <w:bCs/>
          <w:smallCaps/>
          <w:color w:val="auto"/>
          <w:sz w:val="20"/>
        </w:rPr>
      </w:pPr>
      <w:r w:rsidRPr="008537D7">
        <w:rPr>
          <w:rFonts w:cs="Times"/>
          <w:b/>
          <w:bCs/>
          <w:smallCaps/>
          <w:color w:val="auto"/>
          <w:sz w:val="20"/>
        </w:rPr>
        <w:t>Risultati di apprendimento attesi</w:t>
      </w:r>
    </w:p>
    <w:p w14:paraId="209F01FC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Al termine dell’insegnamento, ci si aspetta che lo studente:</w:t>
      </w:r>
    </w:p>
    <w:p w14:paraId="0F1BEE67" w14:textId="77777777" w:rsidR="008537D7" w:rsidRPr="008537D7" w:rsidRDefault="008537D7" w:rsidP="008537D7">
      <w:pPr>
        <w:pStyle w:val="Testo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lastRenderedPageBreak/>
        <w:t>conosca le varie tipologie di disabilità e di disagio, spostando l’attenzione dal deficit ad alcuni costrutti chiave in ottica ICF, come il profilo di funzionamento e il bisogno educativo speciale;</w:t>
      </w:r>
    </w:p>
    <w:p w14:paraId="3D958E54" w14:textId="77777777" w:rsidR="008537D7" w:rsidRPr="008537D7" w:rsidRDefault="008537D7" w:rsidP="008537D7">
      <w:pPr>
        <w:pStyle w:val="Testo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esprima in modo chiaro e pertinente i contenuti appresi, utilizzando un linguaggio corretto, specialistico e universalmente riconosciuto;</w:t>
      </w:r>
    </w:p>
    <w:p w14:paraId="2D820D1A" w14:textId="77777777" w:rsidR="008537D7" w:rsidRPr="008537D7" w:rsidRDefault="008537D7" w:rsidP="008537D7">
      <w:pPr>
        <w:pStyle w:val="Testo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hanging="284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sappia declinare in modo essenziale i contenuti appresi, formulando ipotesi concrete relative all’analisi dei bisogni delle persone con disabilità e alla conseguente individuazione di possibili azioni inclusive.</w:t>
      </w:r>
    </w:p>
    <w:p w14:paraId="713D5717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PROGRAMMA DEL CORSO</w:t>
      </w:r>
    </w:p>
    <w:p w14:paraId="5942F37B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L’evoluzione del concetto di disabilità: dalle prime definizioni alle attuali classificazioni internazionali.</w:t>
      </w:r>
    </w:p>
    <w:p w14:paraId="7883A5B3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Inserimento, integrazione e inclusione: presupposti pedagogici e riferimenti normativi.</w:t>
      </w:r>
    </w:p>
    <w:p w14:paraId="6D78B31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Le differenti tipologie di disabilità: profili di funzionamento e bisogni educativi.</w:t>
      </w:r>
    </w:p>
    <w:p w14:paraId="4A7A9AD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La rilevazione precoce delle difficoltà e l’inclusione del bambino con disabilità al nido.</w:t>
      </w:r>
    </w:p>
    <w:p w14:paraId="5C94350D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Bisogni Educativi Speciali e pedagogia dell’inclusione.</w:t>
      </w:r>
    </w:p>
    <w:p w14:paraId="3CC41DF9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Il ruolo dell’educatore all’interno del progetto di inclusione.</w:t>
      </w:r>
    </w:p>
    <w:p w14:paraId="4ABEA2A9" w14:textId="77777777" w:rsidR="008537D7" w:rsidRPr="008537D7" w:rsidRDefault="008537D7" w:rsidP="008537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jc w:val="both"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BIBLIOGRAFIA</w:t>
      </w:r>
    </w:p>
    <w:p w14:paraId="0E7318FF" w14:textId="77777777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ascii="Times" w:hAnsi="Times" w:cs="Times"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smallCaps/>
          <w:color w:val="auto"/>
          <w:sz w:val="20"/>
          <w:szCs w:val="20"/>
          <w:lang w:val="it-IT"/>
        </w:rPr>
        <w:t>D’Alonzo</w:t>
      </w:r>
      <w:r w:rsidRPr="008537D7">
        <w:rPr>
          <w:rFonts w:ascii="Times" w:hAnsi="Times" w:cs="Times"/>
          <w:color w:val="auto"/>
          <w:sz w:val="20"/>
          <w:szCs w:val="20"/>
          <w:lang w:val="it-IT"/>
        </w:rPr>
        <w:t xml:space="preserve"> (a cura di), Vite reali. La disabilità tra destino e destinazione, Pearson, Milano-Torino, 2021 (primi 5 capitoli).</w:t>
      </w:r>
    </w:p>
    <w:p w14:paraId="43708F1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- Un volume a scelta tra i seguenti:</w:t>
      </w:r>
    </w:p>
    <w:p w14:paraId="502D7FFA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 xml:space="preserve">R. </w:t>
      </w:r>
      <w:proofErr w:type="spellStart"/>
      <w:r w:rsidRPr="008537D7">
        <w:rPr>
          <w:rFonts w:cs="Times"/>
          <w:smallCaps/>
          <w:color w:val="auto"/>
          <w:sz w:val="20"/>
        </w:rPr>
        <w:t>Caldin</w:t>
      </w:r>
      <w:proofErr w:type="spellEnd"/>
      <w:r w:rsidRPr="008537D7">
        <w:rPr>
          <w:rFonts w:cs="Times"/>
          <w:smallCaps/>
          <w:color w:val="auto"/>
          <w:sz w:val="20"/>
        </w:rPr>
        <w:t>,</w:t>
      </w:r>
      <w:r w:rsidRPr="008537D7">
        <w:rPr>
          <w:rFonts w:cs="Times"/>
          <w:color w:val="auto"/>
          <w:sz w:val="20"/>
        </w:rPr>
        <w:t xml:space="preserve"> Percorsi educativi nella disabilità visiva: identità, famiglia e integrazione scolastica e sociale, Erickson, Trento, 2015 </w:t>
      </w:r>
    </w:p>
    <w:p w14:paraId="7C937CD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>A. Cesaro</w:t>
      </w:r>
      <w:r w:rsidRPr="008537D7">
        <w:rPr>
          <w:rFonts w:cs="Times"/>
          <w:color w:val="auto"/>
          <w:sz w:val="20"/>
        </w:rPr>
        <w:t>, Asilo nido e integrazione del bambino con disabilità, Carocci, Roma, 2015.</w:t>
      </w:r>
    </w:p>
    <w:p w14:paraId="412A7C29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>A. Contardi</w:t>
      </w:r>
      <w:r w:rsidRPr="008537D7">
        <w:rPr>
          <w:rFonts w:cs="Times"/>
          <w:color w:val="auto"/>
          <w:sz w:val="20"/>
        </w:rPr>
        <w:t>, Verso l’autonomia. Percorsi educativi per ragazzi con disabilità intellettiva, Carocci, Roma, 2016.</w:t>
      </w:r>
    </w:p>
    <w:p w14:paraId="15EA023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>L. Cottini</w:t>
      </w:r>
      <w:r w:rsidRPr="008537D7">
        <w:rPr>
          <w:rFonts w:cs="Times"/>
          <w:color w:val="auto"/>
          <w:sz w:val="20"/>
        </w:rPr>
        <w:t>, L’autodeterminazione nelle persone con disabilità. Percorsi educativi per svilupparla, Erickson, Trento, 2016.</w:t>
      </w:r>
    </w:p>
    <w:p w14:paraId="4D62EEB6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smallCaps/>
          <w:color w:val="auto"/>
          <w:sz w:val="20"/>
        </w:rPr>
        <w:t xml:space="preserve">G. F. Ricci - D. </w:t>
      </w:r>
      <w:proofErr w:type="spellStart"/>
      <w:r w:rsidRPr="008537D7">
        <w:rPr>
          <w:rFonts w:cs="Times"/>
          <w:smallCaps/>
          <w:color w:val="auto"/>
          <w:sz w:val="20"/>
        </w:rPr>
        <w:t>Resico</w:t>
      </w:r>
      <w:proofErr w:type="spellEnd"/>
      <w:r w:rsidRPr="008537D7">
        <w:rPr>
          <w:rFonts w:cs="Times"/>
          <w:color w:val="auto"/>
          <w:sz w:val="20"/>
        </w:rPr>
        <w:t>, Pedagogia della devianza. Fondamenti, ambiti, interventi, FrancoAngeli, Milano, 2010.</w:t>
      </w:r>
    </w:p>
    <w:p w14:paraId="676C9EF2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0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Altro materiale sarà caricato sulla piattaforma </w:t>
      </w:r>
      <w:proofErr w:type="spellStart"/>
      <w:r w:rsidRPr="008537D7">
        <w:rPr>
          <w:rFonts w:cs="Times"/>
          <w:color w:val="auto"/>
          <w:sz w:val="20"/>
        </w:rPr>
        <w:t>Blackboard</w:t>
      </w:r>
      <w:proofErr w:type="spellEnd"/>
      <w:r w:rsidRPr="008537D7">
        <w:rPr>
          <w:rFonts w:cs="Times"/>
          <w:color w:val="auto"/>
          <w:sz w:val="20"/>
        </w:rPr>
        <w:t xml:space="preserve"> e sarà parte integrante dell’esame.</w:t>
      </w:r>
    </w:p>
    <w:p w14:paraId="46535E74" w14:textId="77777777" w:rsid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</w:p>
    <w:p w14:paraId="59239C56" w14:textId="77777777" w:rsid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</w:p>
    <w:p w14:paraId="7128D5D5" w14:textId="77777777" w:rsid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</w:p>
    <w:p w14:paraId="4D1A9A28" w14:textId="46316CD4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lastRenderedPageBreak/>
        <w:t>DIDATTICA DEL CORSO</w:t>
      </w:r>
    </w:p>
    <w:p w14:paraId="1098CE1F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Le attività didattiche sono svolte in aula secondo il formato della lezione, del workshop e dell’approfondimento seminariale. Verranno presi in esame studi di caso che faciliteranno l’apprendimento e il consolidamento delle </w:t>
      </w:r>
      <w:proofErr w:type="spellStart"/>
      <w:r w:rsidRPr="008537D7">
        <w:rPr>
          <w:rFonts w:cs="Times"/>
          <w:color w:val="auto"/>
          <w:sz w:val="20"/>
        </w:rPr>
        <w:t>compentenze</w:t>
      </w:r>
      <w:proofErr w:type="spellEnd"/>
      <w:r w:rsidRPr="008537D7">
        <w:rPr>
          <w:rFonts w:cs="Times"/>
          <w:color w:val="auto"/>
          <w:sz w:val="20"/>
        </w:rPr>
        <w:t xml:space="preserve"> nell’ambito della progettazione educativa.</w:t>
      </w:r>
    </w:p>
    <w:p w14:paraId="7B821806" w14:textId="77777777" w:rsid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</w:p>
    <w:p w14:paraId="512829B7" w14:textId="760A12D9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 xml:space="preserve">METODO E CRITERI DI VALUTAZIONE </w:t>
      </w:r>
    </w:p>
    <w:p w14:paraId="0CD54300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L’accertamento dei risultati di apprendimento avverrà attraverso un colloquio, teso ad accertare l’effettivo possesso delle conoscenze proposte, la capacità di ragionamento e rigore analitico sui temi oggetto dei corsi, un uso adeguato dello specifico linguaggio disciplinare nonché la capacità di esprimersi appropriatamente.</w:t>
      </w:r>
    </w:p>
    <w:p w14:paraId="6C781197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 colloqui, uno per ogni modulo, saranno organizzati attorno ad alcuni quesiti, miranti a sondare tanto il necessario possesso della dovuta teoria quanto la capacità di proiettarsi in una situazione professionale; in essi si terrà conto della correttezza e della qualità delle risposte, dell’abilità comunicativa mostrata e della capacità di motivare adeguatamente affermazioni, analisi e giudizi.</w:t>
      </w:r>
    </w:p>
    <w:p w14:paraId="5547CFB5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Il voto finale unico corrisponderà alla media dei voti conseguiti nei due diversi moduli.</w:t>
      </w:r>
    </w:p>
    <w:p w14:paraId="3EF8245A" w14:textId="77777777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 xml:space="preserve">AVVERTENZE E PREREQUISITI </w:t>
      </w:r>
    </w:p>
    <w:p w14:paraId="5097631E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>Il corso non richiede prerequisiti particolari; è comunque richiesta una partecipazione attiva e disponibilità a compiere riflessioni significative in merito alle tematiche proposte in aula.</w:t>
      </w:r>
    </w:p>
    <w:p w14:paraId="5AC2483E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</w:p>
    <w:p w14:paraId="6A5A6443" w14:textId="77777777" w:rsidR="008537D7" w:rsidRPr="008537D7" w:rsidRDefault="008537D7" w:rsidP="008537D7">
      <w:pPr>
        <w:pStyle w:val="xmso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exact"/>
        <w:contextualSpacing/>
        <w:mirrorIndents/>
        <w:jc w:val="both"/>
        <w:rPr>
          <w:rFonts w:ascii="Times" w:hAnsi="Times" w:cs="Times"/>
          <w:color w:val="auto"/>
          <w:sz w:val="20"/>
        </w:rPr>
      </w:pPr>
      <w:r w:rsidRPr="008537D7">
        <w:rPr>
          <w:rFonts w:ascii="Times" w:hAnsi="Times" w:cs="Times"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8C55434" w14:textId="77777777" w:rsidR="008537D7" w:rsidRPr="008537D7" w:rsidRDefault="008537D7" w:rsidP="0085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40" w:lineRule="exact"/>
        <w:contextualSpacing/>
        <w:mirrorIndents/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</w:pPr>
      <w:r w:rsidRPr="008537D7">
        <w:rPr>
          <w:rFonts w:ascii="Times" w:hAnsi="Times" w:cs="Times"/>
          <w:b/>
          <w:bCs/>
          <w:i/>
          <w:iCs/>
          <w:color w:val="auto"/>
          <w:sz w:val="20"/>
          <w:szCs w:val="20"/>
          <w:lang w:val="it-IT"/>
        </w:rPr>
        <w:t>ORARIO E LUOGO DI RICEVIMENTO DEGLI STUDENTI</w:t>
      </w:r>
    </w:p>
    <w:p w14:paraId="353C1E04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La prof.ssa Roberta Sala riceve al termine della lezione e secondo l’orario indicato sulla pagina personale del docente. </w:t>
      </w:r>
      <w:proofErr w:type="gramStart"/>
      <w:r w:rsidRPr="008537D7">
        <w:rPr>
          <w:rFonts w:cs="Times"/>
          <w:color w:val="auto"/>
          <w:sz w:val="20"/>
        </w:rPr>
        <w:t>E’</w:t>
      </w:r>
      <w:proofErr w:type="gramEnd"/>
      <w:r w:rsidRPr="008537D7">
        <w:rPr>
          <w:rFonts w:cs="Times"/>
          <w:color w:val="auto"/>
          <w:sz w:val="20"/>
        </w:rPr>
        <w:t xml:space="preserve"> possibile contattarla al seguente indirizzo mail: </w:t>
      </w:r>
      <w:hyperlink r:id="rId5" w:history="1">
        <w:r w:rsidRPr="008537D7">
          <w:rPr>
            <w:rStyle w:val="Collegamentoipertestuale"/>
            <w:rFonts w:cs="Times"/>
            <w:color w:val="auto"/>
            <w:sz w:val="20"/>
          </w:rPr>
          <w:t>roberta.sala@unicatt.it</w:t>
        </w:r>
      </w:hyperlink>
      <w:r w:rsidRPr="008537D7">
        <w:rPr>
          <w:rFonts w:cs="Times"/>
          <w:color w:val="auto"/>
          <w:sz w:val="20"/>
        </w:rPr>
        <w:t>.</w:t>
      </w:r>
    </w:p>
    <w:p w14:paraId="5E585219" w14:textId="77777777" w:rsidR="008537D7" w:rsidRPr="008537D7" w:rsidRDefault="008537D7" w:rsidP="008537D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contextualSpacing/>
        <w:mirrorIndents/>
        <w:rPr>
          <w:rFonts w:cs="Times"/>
          <w:color w:val="auto"/>
          <w:sz w:val="20"/>
        </w:rPr>
      </w:pPr>
      <w:r w:rsidRPr="008537D7">
        <w:rPr>
          <w:rFonts w:cs="Times"/>
          <w:color w:val="auto"/>
          <w:sz w:val="20"/>
        </w:rPr>
        <w:t xml:space="preserve">La prof.ssa Patrizia </w:t>
      </w:r>
      <w:bookmarkStart w:id="0" w:name="GoBack"/>
      <w:bookmarkEnd w:id="0"/>
      <w:r w:rsidRPr="008537D7">
        <w:rPr>
          <w:rFonts w:cs="Times"/>
          <w:color w:val="auto"/>
          <w:sz w:val="20"/>
        </w:rPr>
        <w:t xml:space="preserve">Guardincerri darà avviso dell’orario di ricevimento all’inizio del corso. </w:t>
      </w:r>
      <w:proofErr w:type="gramStart"/>
      <w:r w:rsidRPr="008537D7">
        <w:rPr>
          <w:rFonts w:cs="Times"/>
          <w:color w:val="auto"/>
          <w:sz w:val="20"/>
        </w:rPr>
        <w:t>E’</w:t>
      </w:r>
      <w:proofErr w:type="gramEnd"/>
      <w:r w:rsidRPr="008537D7">
        <w:rPr>
          <w:rFonts w:cs="Times"/>
          <w:color w:val="auto"/>
          <w:sz w:val="20"/>
        </w:rPr>
        <w:t xml:space="preserve"> possibile contattare la docente tramite l’indirizzo mail </w:t>
      </w:r>
      <w:r w:rsidRPr="008537D7">
        <w:rPr>
          <w:rFonts w:cs="Times"/>
          <w:color w:val="auto"/>
          <w:sz w:val="20"/>
        </w:rPr>
        <w:lastRenderedPageBreak/>
        <w:t xml:space="preserve">istituzionale: </w:t>
      </w:r>
      <w:hyperlink r:id="rId6" w:history="1">
        <w:r w:rsidRPr="008537D7">
          <w:rPr>
            <w:rStyle w:val="Collegamentoipertestuale"/>
            <w:rFonts w:cs="Times"/>
            <w:color w:val="auto"/>
            <w:sz w:val="20"/>
          </w:rPr>
          <w:t>patrizia.guardincerri@unicatt.it</w:t>
        </w:r>
      </w:hyperlink>
      <w:r w:rsidRPr="008537D7">
        <w:rPr>
          <w:rFonts w:cs="Times"/>
          <w:color w:val="auto"/>
          <w:sz w:val="20"/>
        </w:rPr>
        <w:t xml:space="preserve"> oppure tramite il seguente indirizzo: </w:t>
      </w:r>
      <w:hyperlink r:id="rId7" w:history="1">
        <w:r w:rsidRPr="008537D7">
          <w:rPr>
            <w:rStyle w:val="Collegamentoipertestuale"/>
            <w:rFonts w:cs="Times"/>
            <w:color w:val="auto"/>
            <w:sz w:val="20"/>
          </w:rPr>
          <w:t>patriziaguardincerri@gmail.com</w:t>
        </w:r>
      </w:hyperlink>
      <w:r w:rsidRPr="008537D7">
        <w:rPr>
          <w:rFonts w:cs="Times"/>
          <w:color w:val="auto"/>
          <w:sz w:val="20"/>
        </w:rPr>
        <w:t>.</w:t>
      </w:r>
    </w:p>
    <w:p w14:paraId="7D527054" w14:textId="77777777" w:rsidR="008537D7" w:rsidRPr="008537D7" w:rsidRDefault="008537D7" w:rsidP="008537D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exact"/>
        <w:contextualSpacing/>
        <w:mirrorIndents/>
        <w:rPr>
          <w:rFonts w:ascii="Times" w:eastAsia="Times New Roman" w:hAnsi="Times" w:cs="Times"/>
          <w:color w:val="auto"/>
          <w:sz w:val="20"/>
          <w:lang w:bidi="x-none"/>
        </w:rPr>
      </w:pPr>
    </w:p>
    <w:p w14:paraId="5EAC5241" w14:textId="77777777" w:rsidR="008537D7" w:rsidRPr="008537D7" w:rsidRDefault="008537D7" w:rsidP="008537D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exact"/>
        <w:contextualSpacing/>
        <w:mirrorIndents/>
        <w:rPr>
          <w:rFonts w:ascii="Times" w:eastAsia="Times New Roman" w:hAnsi="Times" w:cs="Times"/>
          <w:color w:val="auto"/>
          <w:sz w:val="20"/>
          <w:lang w:bidi="x-none"/>
        </w:rPr>
      </w:pPr>
    </w:p>
    <w:p w14:paraId="561B22FF" w14:textId="77777777" w:rsidR="001240F7" w:rsidRPr="008537D7" w:rsidRDefault="001240F7" w:rsidP="008537D7">
      <w:pPr>
        <w:spacing w:line="240" w:lineRule="exact"/>
        <w:contextualSpacing/>
        <w:mirrorIndents/>
        <w:rPr>
          <w:rFonts w:ascii="Times" w:hAnsi="Times" w:cs="Times"/>
          <w:sz w:val="20"/>
          <w:szCs w:val="20"/>
        </w:rPr>
      </w:pPr>
    </w:p>
    <w:sectPr w:rsidR="001240F7" w:rsidRPr="008537D7" w:rsidSect="008537D7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72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44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164"/>
      </w:pPr>
      <w:rPr>
        <w:rFonts w:ascii="Lucida Grande" w:eastAsia="ヒラギノ角ゴ Pro W3" w:hAnsi="Lucida Grande" w:cs="Times New Roman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88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0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324"/>
      </w:pPr>
      <w:rPr>
        <w:rFonts w:ascii="Lucida Grande" w:eastAsia="ヒラギノ角ゴ Pro W3" w:hAnsi="Lucida Grande" w:cs="Times New Roman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04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76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72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44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164"/>
      </w:pPr>
      <w:rPr>
        <w:rFonts w:ascii="Lucida Grande" w:eastAsia="ヒラギノ角ゴ Pro W3" w:hAnsi="Lucida Grande" w:cs="Times New Roman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88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0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324"/>
      </w:pPr>
      <w:rPr>
        <w:rFonts w:ascii="Lucida Grande" w:eastAsia="ヒラギノ角ゴ Pro W3" w:hAnsi="Lucida Grande" w:cs="Times New Roman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044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76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7049839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80334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D7"/>
    <w:rsid w:val="001240F7"/>
    <w:rsid w:val="008537D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A98"/>
  <w15:chartTrackingRefBased/>
  <w15:docId w15:val="{D10690C3-CE76-4DC5-AE29-B8FB8FF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7D7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8537D7"/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Testo2">
    <w:name w:val="Testo 2"/>
    <w:rsid w:val="008537D7"/>
    <w:pPr>
      <w:spacing w:line="220" w:lineRule="exact"/>
      <w:ind w:firstLine="284"/>
      <w:jc w:val="both"/>
    </w:pPr>
    <w:rPr>
      <w:rFonts w:ascii="Times" w:eastAsia="ヒラギノ角ゴ Pro W3" w:hAnsi="Times" w:cs="Times New Roman"/>
      <w:color w:val="000000"/>
      <w:sz w:val="18"/>
      <w:szCs w:val="20"/>
      <w:lang w:eastAsia="it-IT"/>
    </w:rPr>
  </w:style>
  <w:style w:type="paragraph" w:customStyle="1" w:styleId="Corpo">
    <w:name w:val="Corpo"/>
    <w:rsid w:val="008537D7"/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xmsonormal">
    <w:name w:val="x_msonormal"/>
    <w:rsid w:val="008537D7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ziaguardincer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zia.guardincerri@unicatt.it" TargetMode="External"/><Relationship Id="rId5" Type="http://schemas.openxmlformats.org/officeDocument/2006/relationships/hyperlink" Target="mailto:roberta.sala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Sonlieti Cleonice</dc:creator>
  <cp:keywords/>
  <dc:description/>
  <cp:lastModifiedBy>Sonlieti Cleonice</cp:lastModifiedBy>
  <cp:revision>1</cp:revision>
  <dcterms:created xsi:type="dcterms:W3CDTF">2023-08-25T10:09:00Z</dcterms:created>
  <dcterms:modified xsi:type="dcterms:W3CDTF">2023-08-25T10:18:00Z</dcterms:modified>
</cp:coreProperties>
</file>