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AEA5" w14:textId="28C753C2" w:rsidR="00A346A3" w:rsidRDefault="00CB2ED5" w:rsidP="0040638D">
      <w:pPr>
        <w:pStyle w:val="Titolo1"/>
        <w:spacing w:before="0" w:line="240" w:lineRule="auto"/>
      </w:pPr>
      <w:r w:rsidRPr="00E25243">
        <w:t xml:space="preserve">Politica Economica Avanzata </w:t>
      </w:r>
    </w:p>
    <w:p w14:paraId="6AA070C7" w14:textId="13A1ABC6" w:rsidR="0040638D" w:rsidRDefault="0040638D" w:rsidP="0040638D">
      <w:pPr>
        <w:pStyle w:val="Titolo2"/>
        <w:spacing w:line="240" w:lineRule="auto"/>
      </w:pPr>
      <w:r>
        <w:t>Pro</w:t>
      </w:r>
      <w:r w:rsidRPr="00E25243">
        <w:t>f. Francesco Timpano</w:t>
      </w:r>
    </w:p>
    <w:p w14:paraId="3C4779C3" w14:textId="77777777" w:rsidR="0040638D" w:rsidRPr="0040638D" w:rsidRDefault="0040638D" w:rsidP="0040638D">
      <w:pPr>
        <w:pStyle w:val="Titolo3"/>
        <w:spacing w:before="0" w:after="0" w:line="240" w:lineRule="auto"/>
      </w:pPr>
    </w:p>
    <w:p w14:paraId="04CFEDF8" w14:textId="6C2EB797" w:rsidR="008821F9" w:rsidRPr="0025542A" w:rsidRDefault="00082AFB" w:rsidP="008821F9">
      <w:pPr>
        <w:tabs>
          <w:tab w:val="clear" w:pos="284"/>
        </w:tabs>
        <w:spacing w:before="120"/>
        <w:rPr>
          <w:smallCaps/>
          <w:noProof/>
          <w:sz w:val="18"/>
          <w:szCs w:val="18"/>
        </w:rPr>
      </w:pPr>
      <w:r w:rsidRPr="0025542A">
        <w:rPr>
          <w:smallCaps/>
          <w:noProof/>
          <w:sz w:val="18"/>
          <w:szCs w:val="18"/>
        </w:rPr>
        <w:t xml:space="preserve">Modulo 1 - </w:t>
      </w:r>
      <w:r w:rsidR="008821F9" w:rsidRPr="0025542A">
        <w:rPr>
          <w:smallCaps/>
          <w:noProof/>
          <w:sz w:val="18"/>
          <w:szCs w:val="18"/>
        </w:rPr>
        <w:t xml:space="preserve">Politica economica europea per la sostenibilità </w:t>
      </w:r>
    </w:p>
    <w:p w14:paraId="0751C65A" w14:textId="3A666CEF" w:rsidR="00D52AF0" w:rsidRPr="00D52AF0" w:rsidRDefault="00D52AF0" w:rsidP="0040638D">
      <w:pPr>
        <w:pStyle w:val="Titolo2"/>
        <w:spacing w:line="240" w:lineRule="auto"/>
        <w:rPr>
          <w:szCs w:val="18"/>
        </w:rPr>
      </w:pPr>
      <w:r>
        <w:rPr>
          <w:szCs w:val="18"/>
        </w:rPr>
        <w:t>Modulo 2 – Politiche per l’Impresa e la Digitalizzazione</w:t>
      </w:r>
    </w:p>
    <w:p w14:paraId="60810E8D" w14:textId="77777777" w:rsidR="00177EFB" w:rsidRDefault="00177EFB" w:rsidP="0040638D">
      <w:pPr>
        <w:spacing w:line="240" w:lineRule="auto"/>
        <w:rPr>
          <w:b/>
        </w:rPr>
      </w:pPr>
    </w:p>
    <w:p w14:paraId="52181E40" w14:textId="380184E0" w:rsidR="002B431B" w:rsidRPr="005A5A37" w:rsidRDefault="005A5A37" w:rsidP="000717E5">
      <w:pPr>
        <w:spacing w:before="120"/>
        <w:rPr>
          <w:b/>
          <w:i/>
          <w:sz w:val="18"/>
          <w:szCs w:val="18"/>
        </w:rPr>
      </w:pPr>
      <w:r w:rsidRPr="005A5A37">
        <w:rPr>
          <w:b/>
          <w:i/>
          <w:sz w:val="18"/>
          <w:szCs w:val="18"/>
        </w:rPr>
        <w:t>OBIETTIVO DEL CORSO</w:t>
      </w:r>
      <w:r w:rsidR="00DC73B0">
        <w:rPr>
          <w:b/>
          <w:i/>
          <w:sz w:val="18"/>
          <w:szCs w:val="18"/>
        </w:rPr>
        <w:t xml:space="preserve"> E RISULTATI DI APPRENDIMENTO ATTESI</w:t>
      </w:r>
    </w:p>
    <w:p w14:paraId="024D4DBA" w14:textId="77777777" w:rsidR="00B83EE6" w:rsidRDefault="002B431B" w:rsidP="000717E5">
      <w:pPr>
        <w:spacing w:before="120"/>
      </w:pPr>
      <w:r w:rsidRPr="002B431B">
        <w:t xml:space="preserve">Il corso è introdotto da </w:t>
      </w:r>
      <w:r w:rsidR="00B83EE6">
        <w:t>una riflessione sul significato delle politiche a partire dal concetto, applicato ampiamente nelle politiche europee, di definizione di “fallimento di mercato”. Si procede poi all’approfondimento di alcuni temi, svolto in ogni caso nella prospettiva di fornire allo studente alcuni strumenti per comprendere l’approccio di policy prevalente, in particolare con riferimento alle politiche di sostegno alle imprese.</w:t>
      </w:r>
    </w:p>
    <w:p w14:paraId="1A1B0008" w14:textId="7175C19E" w:rsidR="008821F9" w:rsidRDefault="00297EBF" w:rsidP="000717E5">
      <w:pPr>
        <w:spacing w:before="120"/>
      </w:pPr>
      <w:r>
        <w:t>Nel primo modulo</w:t>
      </w:r>
      <w:r w:rsidR="00B83EE6">
        <w:t xml:space="preserve"> del corso si </w:t>
      </w:r>
      <w:r w:rsidR="008821F9">
        <w:t xml:space="preserve">parte dall’approccio degli Obiettivi di sviluppo Sostenibile dell’Agenda ONU 2030 (SDGs) per rappresentare l’evoluzione del quadro europeo che sta portando dal Green Deal Europeo all’Action Plan per la Finanza Sostenibile al recente quadro di interventi in ambito di standard di produzione, reporting, regolamentazione finanziaria e tassonomia delle attività economiche sostenibili. </w:t>
      </w:r>
    </w:p>
    <w:p w14:paraId="4D91CD39" w14:textId="1AAEA682" w:rsidR="008821F9" w:rsidRDefault="008821F9" w:rsidP="000717E5">
      <w:pPr>
        <w:spacing w:before="120"/>
      </w:pPr>
      <w:r>
        <w:t>In seguito, si focalizza l’attenzione sulle politiche economiche implementate a livello europeo in risposta ai grandi eventi avversi degli ultimi quindici anni, dalla crisi finanziaria del 2008 alla crisi pandemica ed alla guerra. Oltre a focalizzare l’attenzione sulle politiche adottate si ricostruirà il razionale economico che le ha ispirate nel quadro complessivo della costruzione dell’Unione Europea.</w:t>
      </w:r>
    </w:p>
    <w:p w14:paraId="15CF8B10" w14:textId="09A059BE" w:rsidR="008821F9" w:rsidRDefault="008821F9" w:rsidP="000717E5">
      <w:pPr>
        <w:spacing w:before="120"/>
      </w:pPr>
      <w:r>
        <w:t xml:space="preserve">Nella seconda parte del corso si </w:t>
      </w:r>
      <w:r w:rsidR="00B83EE6">
        <w:t>analizza</w:t>
      </w:r>
      <w:r w:rsidR="003F7C48">
        <w:t xml:space="preserve"> l’evoluzione recente delle politiche europee </w:t>
      </w:r>
      <w:r>
        <w:t>partendo dall’analisi dal dibattito teorico tra approccio “</w:t>
      </w:r>
      <w:r w:rsidRPr="00CE750C">
        <w:rPr>
          <w:i/>
        </w:rPr>
        <w:t>place-based</w:t>
      </w:r>
      <w:r>
        <w:t>” alle politiche e approccio “</w:t>
      </w:r>
      <w:r w:rsidRPr="00CE750C">
        <w:rPr>
          <w:i/>
        </w:rPr>
        <w:t>spatially neutral</w:t>
      </w:r>
      <w:r>
        <w:t>”. I concetti di coesione territoriale e competitività verranno utilizzati per comprendere la dimensione territoriale delle politiche per le imprese e il contributo che esse hanno fornito all’agglomerazione e/o ad uno sviluppo equilibrato.</w:t>
      </w:r>
    </w:p>
    <w:p w14:paraId="0D6BD4B6" w14:textId="64AB3218" w:rsidR="00B83EE6" w:rsidRDefault="008821F9" w:rsidP="000717E5">
      <w:pPr>
        <w:spacing w:before="120"/>
      </w:pPr>
      <w:r>
        <w:t>In seguito,</w:t>
      </w:r>
      <w:r w:rsidR="00B83EE6">
        <w:t xml:space="preserve"> si </w:t>
      </w:r>
      <w:r w:rsidR="00AA2064">
        <w:t>discutono le più recenti politiche industriali a sostegno delle imprese, con particolare riferimento all</w:t>
      </w:r>
      <w:r>
        <w:t xml:space="preserve">a Agenda Europea per l’innovazione, alle politiche di sostegno ai cluster industriali ed alle </w:t>
      </w:r>
      <w:r w:rsidR="00AA2064">
        <w:t>cosiddette “</w:t>
      </w:r>
      <w:r>
        <w:t>p</w:t>
      </w:r>
      <w:r w:rsidR="00AA2064">
        <w:t xml:space="preserve">olitiche per l’Industria 4.0” e più in generale </w:t>
      </w:r>
      <w:r>
        <w:t xml:space="preserve">per la </w:t>
      </w:r>
      <w:r w:rsidR="00AA2064">
        <w:t xml:space="preserve">digitalizzazione. </w:t>
      </w:r>
    </w:p>
    <w:p w14:paraId="02A8BBFF" w14:textId="3AC3552D" w:rsidR="003F7C48" w:rsidRDefault="003F7C48" w:rsidP="000717E5">
      <w:pPr>
        <w:spacing w:before="120"/>
      </w:pPr>
      <w:r>
        <w:t xml:space="preserve">Il corso è trasversalmente caratterizzato dalla contestualizzazione nel programma europeo </w:t>
      </w:r>
      <w:r w:rsidRPr="00CE750C">
        <w:rPr>
          <w:i/>
        </w:rPr>
        <w:t>Next Generation EU</w:t>
      </w:r>
      <w:r>
        <w:t xml:space="preserve"> che verrà seguito nella sua fase di progettazione e realizzazione e monitorato attraverso la realizzazione di un </w:t>
      </w:r>
      <w:r w:rsidRPr="00CE750C">
        <w:rPr>
          <w:i/>
        </w:rPr>
        <w:t xml:space="preserve">Laboratorio Next </w:t>
      </w:r>
      <w:r w:rsidRPr="00CE750C">
        <w:rPr>
          <w:i/>
        </w:rPr>
        <w:lastRenderedPageBreak/>
        <w:t>Generation EU</w:t>
      </w:r>
      <w:r>
        <w:t xml:space="preserve"> (</w:t>
      </w:r>
      <w:r w:rsidRPr="003F7C48">
        <w:t>https://www.linkedin.com/company/laboratorio-next-generation-eu/?viewAsMember=true</w:t>
      </w:r>
      <w:r>
        <w:t xml:space="preserve">). </w:t>
      </w:r>
    </w:p>
    <w:p w14:paraId="1A54A0FB" w14:textId="77777777" w:rsidR="00B86441" w:rsidRPr="00B3670E" w:rsidRDefault="00B86441" w:rsidP="00B86441">
      <w:pPr>
        <w:spacing w:after="120"/>
        <w:rPr>
          <w:i/>
        </w:rPr>
      </w:pPr>
      <w:r w:rsidRPr="00B3670E">
        <w:rPr>
          <w:i/>
        </w:rPr>
        <w:t>Risultati di apprendimento attesi</w:t>
      </w:r>
    </w:p>
    <w:p w14:paraId="3BB06E43" w14:textId="77777777" w:rsidR="00B86441" w:rsidRPr="00B3670E" w:rsidRDefault="00B86441" w:rsidP="00B86441">
      <w:pPr>
        <w:tabs>
          <w:tab w:val="clear" w:pos="284"/>
        </w:tabs>
        <w:autoSpaceDE w:val="0"/>
        <w:autoSpaceDN w:val="0"/>
        <w:adjustRightInd w:val="0"/>
        <w:spacing w:after="120" w:line="240" w:lineRule="auto"/>
        <w:rPr>
          <w:i/>
        </w:rPr>
      </w:pPr>
      <w:r w:rsidRPr="00B3670E">
        <w:rPr>
          <w:i/>
        </w:rPr>
        <w:t>Conoscenza e comprensione</w:t>
      </w:r>
    </w:p>
    <w:p w14:paraId="7A82D934" w14:textId="09084BA4" w:rsidR="00B86441" w:rsidRDefault="00B86441" w:rsidP="00B86441">
      <w:pPr>
        <w:tabs>
          <w:tab w:val="clear" w:pos="284"/>
        </w:tabs>
        <w:autoSpaceDE w:val="0"/>
        <w:autoSpaceDN w:val="0"/>
        <w:adjustRightInd w:val="0"/>
        <w:spacing w:after="120" w:line="240" w:lineRule="auto"/>
      </w:pPr>
      <w:r>
        <w:t>Al termine dell’insegnamento lo studente sarà in grado di:</w:t>
      </w:r>
    </w:p>
    <w:p w14:paraId="08D38A11" w14:textId="72BB298E" w:rsidR="00B86441" w:rsidRDefault="008821F9" w:rsidP="00B86441">
      <w:pPr>
        <w:pStyle w:val="Paragrafoelenco"/>
        <w:numPr>
          <w:ilvl w:val="0"/>
          <w:numId w:val="18"/>
        </w:numPr>
        <w:spacing w:after="120"/>
        <w:ind w:left="714" w:hanging="357"/>
        <w:contextualSpacing w:val="0"/>
      </w:pPr>
      <w:r>
        <w:t>Comprendere le motivazioni teoriche che motivano le politiche europee</w:t>
      </w:r>
      <w:r w:rsidR="00B86441">
        <w:t xml:space="preserve"> (obiettivo 1);</w:t>
      </w:r>
    </w:p>
    <w:p w14:paraId="3664707D" w14:textId="278F6840" w:rsidR="00B86441" w:rsidRDefault="00B86441" w:rsidP="00B86441">
      <w:pPr>
        <w:pStyle w:val="Paragrafoelenco"/>
        <w:numPr>
          <w:ilvl w:val="0"/>
          <w:numId w:val="18"/>
        </w:numPr>
        <w:spacing w:after="120"/>
        <w:ind w:left="714" w:hanging="357"/>
        <w:contextualSpacing w:val="0"/>
      </w:pPr>
      <w:r>
        <w:t>Comprendere l</w:t>
      </w:r>
      <w:r w:rsidR="008821F9">
        <w:t xml:space="preserve">’approccio basato sul concetto di sostenibilità (nel senso degli SDGs) nelle politiche economiche </w:t>
      </w:r>
      <w:r>
        <w:t>(obiettivo 2);</w:t>
      </w:r>
    </w:p>
    <w:p w14:paraId="463C3BBC" w14:textId="6236592A" w:rsidR="00B86441" w:rsidRDefault="00B86441" w:rsidP="00B86441">
      <w:pPr>
        <w:pStyle w:val="Paragrafoelenco"/>
        <w:numPr>
          <w:ilvl w:val="0"/>
          <w:numId w:val="18"/>
        </w:numPr>
        <w:spacing w:after="120"/>
        <w:ind w:left="714" w:hanging="357"/>
        <w:contextualSpacing w:val="0"/>
      </w:pPr>
      <w:r>
        <w:t>Conoscere la strumentazione di policy destinata alle imprese (obiettivo 3);</w:t>
      </w:r>
    </w:p>
    <w:p w14:paraId="0FCC6A59" w14:textId="157B38FA" w:rsidR="00B86441" w:rsidRDefault="00B86441" w:rsidP="00B86441">
      <w:pPr>
        <w:pStyle w:val="Paragrafoelenco"/>
        <w:numPr>
          <w:ilvl w:val="0"/>
          <w:numId w:val="18"/>
        </w:numPr>
        <w:spacing w:after="120"/>
        <w:ind w:left="714" w:hanging="357"/>
        <w:contextualSpacing w:val="0"/>
      </w:pPr>
      <w:r>
        <w:t xml:space="preserve">Implementare un’analisi approfondita delle politiche </w:t>
      </w:r>
      <w:r w:rsidR="008821F9">
        <w:t xml:space="preserve">per la sostenibilità e </w:t>
      </w:r>
      <w:r>
        <w:t>per la digitalizzazione (obiettivo 4);</w:t>
      </w:r>
    </w:p>
    <w:p w14:paraId="3018A403" w14:textId="77777777" w:rsidR="00B86441" w:rsidRPr="00B3670E" w:rsidRDefault="00B86441" w:rsidP="00B86441">
      <w:pPr>
        <w:spacing w:after="120"/>
        <w:rPr>
          <w:i/>
        </w:rPr>
      </w:pPr>
      <w:r w:rsidRPr="00B3670E">
        <w:rPr>
          <w:i/>
        </w:rPr>
        <w:t>Capacità di applicare conoscenza e comprensione</w:t>
      </w:r>
    </w:p>
    <w:p w14:paraId="3C58CC19" w14:textId="775E55E5" w:rsidR="00B86441" w:rsidRDefault="00B86441" w:rsidP="00B86441">
      <w:pPr>
        <w:pStyle w:val="Paragrafoelenco"/>
        <w:numPr>
          <w:ilvl w:val="0"/>
          <w:numId w:val="18"/>
        </w:numPr>
        <w:spacing w:after="120"/>
        <w:ind w:left="714" w:hanging="357"/>
        <w:contextualSpacing w:val="0"/>
      </w:pPr>
      <w:r>
        <w:t>Capacità di sviluppare competenze applicate su</w:t>
      </w:r>
      <w:r w:rsidR="008821F9">
        <w:t>i</w:t>
      </w:r>
      <w:r>
        <w:t xml:space="preserve"> programma europeo (obiettivo 5);</w:t>
      </w:r>
    </w:p>
    <w:p w14:paraId="359AC016" w14:textId="428AB415" w:rsidR="00B86441" w:rsidRDefault="00B86441" w:rsidP="00B86441">
      <w:pPr>
        <w:pStyle w:val="Paragrafoelenco"/>
        <w:numPr>
          <w:ilvl w:val="0"/>
          <w:numId w:val="18"/>
        </w:numPr>
        <w:spacing w:after="120"/>
        <w:ind w:left="714" w:hanging="357"/>
        <w:contextualSpacing w:val="0"/>
      </w:pPr>
      <w:r>
        <w:t>Proporre modifiche di progettazione nelle politiche economiche, in particolare quelle destinate alle imprese (obiettivo 6);</w:t>
      </w:r>
    </w:p>
    <w:p w14:paraId="0CC7E024" w14:textId="77777777" w:rsidR="00B86441" w:rsidRDefault="00B86441" w:rsidP="00B86441">
      <w:pPr>
        <w:pStyle w:val="Paragrafoelenco"/>
        <w:numPr>
          <w:ilvl w:val="0"/>
          <w:numId w:val="18"/>
        </w:numPr>
        <w:spacing w:after="120"/>
        <w:ind w:left="714" w:hanging="357"/>
        <w:contextualSpacing w:val="0"/>
      </w:pPr>
      <w:r>
        <w:t xml:space="preserve">Utilizzare i modelli macroeconomici per valutare l’impatto delle politiche monetarie, fiscali, valutarie e le politiche europee, oltre che quelle orientate alla realizzazione dello sviluppo sostenibile (obiettivo 7); </w:t>
      </w:r>
    </w:p>
    <w:p w14:paraId="6AEE77E1" w14:textId="13F70884" w:rsidR="00B86441" w:rsidRDefault="00B86441" w:rsidP="00B86441">
      <w:pPr>
        <w:pStyle w:val="Paragrafoelenco"/>
        <w:numPr>
          <w:ilvl w:val="0"/>
          <w:numId w:val="18"/>
        </w:numPr>
        <w:spacing w:after="120"/>
        <w:ind w:left="714" w:hanging="357"/>
        <w:contextualSpacing w:val="0"/>
      </w:pPr>
      <w:r>
        <w:t>Sviluppare competenze specifiche sulla valutazione delle politiche alla luce dell’Agenda 2030 e degli SDGs (obiettivo 8).</w:t>
      </w:r>
    </w:p>
    <w:p w14:paraId="5979D26C" w14:textId="64CE51D3" w:rsidR="00B86441" w:rsidRDefault="00B86441" w:rsidP="00B86441">
      <w:pPr>
        <w:spacing w:after="120"/>
      </w:pPr>
      <w:r>
        <w:t xml:space="preserve">Nell’ambito del corso si promuoverà la capacità dello studente di apprendere la struttura delle politiche e di valutarne l’impatto, puntando a promuovere una propria autonomia di giudizio e promuovendo in modo significativo la capacità di proporre </w:t>
      </w:r>
      <w:r w:rsidR="009763D3">
        <w:t>modifiche di policy, anche alla luce della valutazione del mondo professionale</w:t>
      </w:r>
      <w:r>
        <w:t>. I metodi di valutazione sono costruiti allo scopo di stimolare abilità comunicative</w:t>
      </w:r>
      <w:r w:rsidR="009763D3">
        <w:t xml:space="preserve"> in particolare attraverso il percorso dell’Hackathon che mette in confronto gli studenti con il mondo professionale.</w:t>
      </w:r>
    </w:p>
    <w:p w14:paraId="5A25F5C0" w14:textId="0EBF2337" w:rsidR="0025542A" w:rsidRDefault="0025542A" w:rsidP="00B86441">
      <w:pPr>
        <w:spacing w:after="120"/>
      </w:pPr>
    </w:p>
    <w:p w14:paraId="55B6AB61" w14:textId="5BDBB89B" w:rsidR="0025542A" w:rsidRDefault="0025542A" w:rsidP="00B86441">
      <w:pPr>
        <w:spacing w:after="120"/>
      </w:pPr>
    </w:p>
    <w:p w14:paraId="174606AD" w14:textId="77777777" w:rsidR="0025542A" w:rsidRDefault="0025542A" w:rsidP="00B86441">
      <w:pPr>
        <w:spacing w:after="120"/>
      </w:pPr>
    </w:p>
    <w:p w14:paraId="60AB7985" w14:textId="64DB841A" w:rsidR="00E51D6C" w:rsidRDefault="002B431B" w:rsidP="00E51D6C">
      <w:pPr>
        <w:tabs>
          <w:tab w:val="clear" w:pos="284"/>
          <w:tab w:val="num" w:pos="1429"/>
        </w:tabs>
        <w:spacing w:before="120"/>
        <w:ind w:left="142"/>
        <w:rPr>
          <w:b/>
          <w:sz w:val="18"/>
        </w:rPr>
      </w:pPr>
      <w:r w:rsidRPr="00177EFB">
        <w:rPr>
          <w:b/>
          <w:i/>
          <w:sz w:val="18"/>
        </w:rPr>
        <w:lastRenderedPageBreak/>
        <w:t>PROGRAMMA DEL CORSO</w:t>
      </w:r>
    </w:p>
    <w:p w14:paraId="1395976C" w14:textId="3ECB6615" w:rsidR="00457378" w:rsidRPr="0025542A" w:rsidRDefault="00D52AF0" w:rsidP="00CE750C">
      <w:pPr>
        <w:tabs>
          <w:tab w:val="clear" w:pos="284"/>
        </w:tabs>
        <w:spacing w:before="120"/>
        <w:rPr>
          <w:smallCaps/>
          <w:noProof/>
          <w:sz w:val="18"/>
          <w:szCs w:val="18"/>
        </w:rPr>
      </w:pPr>
      <w:r w:rsidRPr="0025542A">
        <w:rPr>
          <w:smallCaps/>
          <w:noProof/>
          <w:sz w:val="18"/>
          <w:szCs w:val="18"/>
        </w:rPr>
        <w:t xml:space="preserve">Modulo 1 - </w:t>
      </w:r>
      <w:r w:rsidR="008821F9" w:rsidRPr="0025542A">
        <w:rPr>
          <w:smallCaps/>
          <w:noProof/>
          <w:sz w:val="18"/>
          <w:szCs w:val="18"/>
        </w:rPr>
        <w:t xml:space="preserve"> Politica economica europea per la sostenibilità </w:t>
      </w:r>
    </w:p>
    <w:p w14:paraId="752F1E2D" w14:textId="49A0B5A0" w:rsidR="008821F9" w:rsidRPr="008821F9" w:rsidRDefault="00E51D6C" w:rsidP="008821F9">
      <w:pPr>
        <w:pStyle w:val="Paragrafoelenco"/>
        <w:numPr>
          <w:ilvl w:val="1"/>
          <w:numId w:val="17"/>
        </w:numPr>
        <w:tabs>
          <w:tab w:val="clear" w:pos="284"/>
        </w:tabs>
        <w:spacing w:before="120"/>
        <w:rPr>
          <w:rFonts w:eastAsia="Times" w:cs="Times"/>
        </w:rPr>
      </w:pPr>
      <w:r>
        <w:t>Fallimento del mercato e ragioni per la politica economica: la prospettiva europea</w:t>
      </w:r>
    </w:p>
    <w:p w14:paraId="0C8CC7DC" w14:textId="21531483" w:rsidR="008821F9" w:rsidRDefault="008821F9" w:rsidP="008821F9">
      <w:pPr>
        <w:pStyle w:val="Paragrafoelenco"/>
        <w:numPr>
          <w:ilvl w:val="1"/>
          <w:numId w:val="17"/>
        </w:numPr>
      </w:pPr>
      <w:r>
        <w:t xml:space="preserve"> L’approccio SDGS Agenda 2030 e le politiche economiche per lo sviluppo sostenibile in Europa: il Green Deal europeo</w:t>
      </w:r>
    </w:p>
    <w:p w14:paraId="2144DFD5" w14:textId="0B46BA7D" w:rsidR="00D23255" w:rsidRPr="008821F9" w:rsidRDefault="008821F9" w:rsidP="00CE750C">
      <w:pPr>
        <w:pStyle w:val="Paragrafoelenco"/>
        <w:numPr>
          <w:ilvl w:val="1"/>
          <w:numId w:val="17"/>
        </w:numPr>
        <w:rPr>
          <w:rFonts w:eastAsia="Times" w:cs="Times"/>
        </w:rPr>
      </w:pPr>
      <w:r w:rsidRPr="008821F9">
        <w:rPr>
          <w:rFonts w:eastAsia="Times" w:cs="Times"/>
        </w:rPr>
        <w:t xml:space="preserve"> La politica economica della pandemia e della Guerra: </w:t>
      </w:r>
      <w:r w:rsidR="00F34266" w:rsidRPr="008821F9">
        <w:rPr>
          <w:rFonts w:eastAsia="Times" w:cs="Times"/>
        </w:rPr>
        <w:t>Next Generation EU e RePowerEU</w:t>
      </w:r>
    </w:p>
    <w:p w14:paraId="7951B4C3" w14:textId="77777777" w:rsidR="00D23255" w:rsidRPr="008821F9" w:rsidRDefault="00D23255" w:rsidP="00CE750C">
      <w:pPr>
        <w:spacing w:before="120"/>
        <w:rPr>
          <w:rFonts w:eastAsia="Times" w:cs="Times"/>
        </w:rPr>
      </w:pPr>
    </w:p>
    <w:p w14:paraId="3820A629" w14:textId="77777777" w:rsidR="008821F9" w:rsidRPr="0025542A" w:rsidRDefault="00D52AF0" w:rsidP="0025542A">
      <w:pPr>
        <w:tabs>
          <w:tab w:val="clear" w:pos="284"/>
        </w:tabs>
        <w:spacing w:before="120"/>
        <w:rPr>
          <w:smallCaps/>
          <w:noProof/>
          <w:sz w:val="18"/>
          <w:szCs w:val="18"/>
        </w:rPr>
      </w:pPr>
      <w:bookmarkStart w:id="0" w:name="_GoBack"/>
      <w:r w:rsidRPr="0025542A">
        <w:rPr>
          <w:smallCaps/>
          <w:noProof/>
          <w:sz w:val="18"/>
          <w:szCs w:val="18"/>
        </w:rPr>
        <w:t>Modulo 2 – Politiche per l’impresa e la digitalizzazion</w:t>
      </w:r>
      <w:r w:rsidR="00D23255" w:rsidRPr="0025542A">
        <w:rPr>
          <w:smallCaps/>
          <w:noProof/>
          <w:sz w:val="18"/>
          <w:szCs w:val="18"/>
        </w:rPr>
        <w:t>e</w:t>
      </w:r>
    </w:p>
    <w:bookmarkEnd w:id="0"/>
    <w:p w14:paraId="386DD620" w14:textId="06F5D94C" w:rsidR="008821F9" w:rsidRDefault="008821F9" w:rsidP="008821F9">
      <w:pPr>
        <w:pStyle w:val="Paragrafoelenco"/>
        <w:numPr>
          <w:ilvl w:val="1"/>
          <w:numId w:val="16"/>
        </w:numPr>
      </w:pPr>
      <w:r>
        <w:t>Convergenza, competitività territoriale e le politiche per le imprese in Europa ed in Italia</w:t>
      </w:r>
    </w:p>
    <w:p w14:paraId="209DEC63" w14:textId="2F73A0C8" w:rsidR="008821F9" w:rsidRPr="008821F9" w:rsidRDefault="008821F9" w:rsidP="008821F9">
      <w:pPr>
        <w:pStyle w:val="Paragrafoelenco"/>
        <w:numPr>
          <w:ilvl w:val="1"/>
          <w:numId w:val="16"/>
        </w:numPr>
        <w:rPr>
          <w:lang w:val="en-US"/>
        </w:rPr>
      </w:pPr>
      <w:r w:rsidRPr="008821F9">
        <w:rPr>
          <w:lang w:val="en-US"/>
        </w:rPr>
        <w:t>The New European Innovation Agenda</w:t>
      </w:r>
      <w:r>
        <w:rPr>
          <w:lang w:val="en-US"/>
        </w:rPr>
        <w:t xml:space="preserve"> and Horizon Europe</w:t>
      </w:r>
    </w:p>
    <w:p w14:paraId="2DFBE4FD" w14:textId="3DB24C06" w:rsidR="00457378" w:rsidRDefault="004F60F2" w:rsidP="008821F9">
      <w:pPr>
        <w:pStyle w:val="Paragrafoelenco"/>
        <w:numPr>
          <w:ilvl w:val="1"/>
          <w:numId w:val="16"/>
        </w:numPr>
      </w:pPr>
      <w:r>
        <w:t>Politiche a sostegno dell’innovazione</w:t>
      </w:r>
      <w:r w:rsidR="008821F9">
        <w:t xml:space="preserve">: </w:t>
      </w:r>
      <w:r>
        <w:t>cluster industriali</w:t>
      </w:r>
      <w:r w:rsidR="008821F9">
        <w:t xml:space="preserve">, Industria </w:t>
      </w:r>
      <w:r w:rsidR="00F1798A">
        <w:t>4.0 e</w:t>
      </w:r>
      <w:r w:rsidR="008821F9">
        <w:t xml:space="preserve"> </w:t>
      </w:r>
      <w:r w:rsidR="00F1798A">
        <w:t>digitalizzazione</w:t>
      </w:r>
    </w:p>
    <w:p w14:paraId="0FB9D6F2" w14:textId="77777777" w:rsidR="002B431B" w:rsidRPr="004F60F2" w:rsidRDefault="002B431B" w:rsidP="008821F9">
      <w:pPr>
        <w:tabs>
          <w:tab w:val="clear" w:pos="284"/>
          <w:tab w:val="left" w:pos="0"/>
          <w:tab w:val="num" w:pos="142"/>
        </w:tabs>
      </w:pPr>
    </w:p>
    <w:p w14:paraId="6777C306" w14:textId="31E20676" w:rsidR="002B431B" w:rsidRPr="002B431B" w:rsidRDefault="002B431B" w:rsidP="000717E5">
      <w:pPr>
        <w:spacing w:before="120"/>
      </w:pPr>
      <w:r w:rsidRPr="002B431B">
        <w:rPr>
          <w:b/>
          <w:i/>
          <w:sz w:val="18"/>
        </w:rPr>
        <w:t>BIBLIOGRAFIA</w:t>
      </w:r>
      <w:r w:rsidR="00CD3A0E">
        <w:rPr>
          <w:rStyle w:val="Rimandonotaapidipagina"/>
          <w:b/>
          <w:i/>
          <w:sz w:val="18"/>
        </w:rPr>
        <w:footnoteReference w:id="1"/>
      </w:r>
    </w:p>
    <w:p w14:paraId="7881B776" w14:textId="4B372174" w:rsidR="002B431B" w:rsidRDefault="002B431B" w:rsidP="000717E5">
      <w:pPr>
        <w:tabs>
          <w:tab w:val="clear" w:pos="284"/>
        </w:tabs>
        <w:spacing w:before="120" w:line="220" w:lineRule="exact"/>
        <w:rPr>
          <w:noProof/>
          <w:sz w:val="18"/>
        </w:rPr>
      </w:pPr>
      <w:r w:rsidRPr="002B431B">
        <w:rPr>
          <w:noProof/>
          <w:sz w:val="18"/>
        </w:rPr>
        <w:t xml:space="preserve">Il docente distribuirà dispense e materiali per </w:t>
      </w:r>
      <w:r w:rsidR="00177EFB">
        <w:rPr>
          <w:noProof/>
          <w:sz w:val="18"/>
        </w:rPr>
        <w:t>ognuno degli argomenti indicati</w:t>
      </w:r>
      <w:r w:rsidR="008821F9">
        <w:rPr>
          <w:noProof/>
          <w:sz w:val="18"/>
        </w:rPr>
        <w:t>. Si tratterà di papers, Rapporti e siti web da cui trarre le informazioni riguardanti le politiche. Di seguito sono elencati alcuni degli strumenti proposti, da non considerarsi esaustivi.</w:t>
      </w:r>
    </w:p>
    <w:p w14:paraId="5D946D40" w14:textId="53EEA3CB" w:rsidR="00584B78" w:rsidRPr="00584B78" w:rsidRDefault="00584B78" w:rsidP="00584B78">
      <w:pPr>
        <w:tabs>
          <w:tab w:val="clear" w:pos="284"/>
        </w:tabs>
        <w:spacing w:before="120" w:line="220" w:lineRule="exact"/>
        <w:rPr>
          <w:i/>
          <w:noProof/>
          <w:sz w:val="18"/>
        </w:rPr>
      </w:pPr>
      <w:r w:rsidRPr="00584B78">
        <w:rPr>
          <w:i/>
          <w:noProof/>
          <w:sz w:val="18"/>
        </w:rPr>
        <w:t>Libri</w:t>
      </w:r>
      <w:r w:rsidR="00457378">
        <w:rPr>
          <w:i/>
          <w:noProof/>
          <w:sz w:val="18"/>
        </w:rPr>
        <w:t xml:space="preserve"> (lettura di supporto)</w:t>
      </w:r>
    </w:p>
    <w:p w14:paraId="22301DB9" w14:textId="59163016" w:rsidR="00584B78" w:rsidRPr="008821F9" w:rsidRDefault="00584B78" w:rsidP="008821F9">
      <w:pPr>
        <w:pStyle w:val="Paragrafoelenco"/>
        <w:numPr>
          <w:ilvl w:val="0"/>
          <w:numId w:val="21"/>
        </w:numPr>
        <w:tabs>
          <w:tab w:val="clear" w:pos="284"/>
        </w:tabs>
        <w:spacing w:before="120" w:line="220" w:lineRule="exact"/>
        <w:rPr>
          <w:noProof/>
          <w:sz w:val="18"/>
        </w:rPr>
      </w:pPr>
      <w:r w:rsidRPr="008821F9">
        <w:rPr>
          <w:noProof/>
          <w:sz w:val="18"/>
        </w:rPr>
        <w:t>Campiglio L., “Mercato prezzi e politica economica”, Mulino, 1999</w:t>
      </w:r>
      <w:r w:rsidR="00CD3A0E" w:rsidRPr="008821F9">
        <w:rPr>
          <w:noProof/>
          <w:sz w:val="18"/>
        </w:rPr>
        <w:t xml:space="preserve"> </w:t>
      </w:r>
      <w:hyperlink r:id="rId11" w:history="1">
        <w:r w:rsidR="00CD3A0E" w:rsidRPr="008821F9">
          <w:rPr>
            <w:rStyle w:val="Collegamentoipertestuale"/>
            <w:rFonts w:ascii="Times New Roman" w:hAnsi="Times New Roman"/>
            <w:i/>
            <w:sz w:val="16"/>
            <w:szCs w:val="16"/>
          </w:rPr>
          <w:t>Acquista da VP</w:t>
        </w:r>
      </w:hyperlink>
    </w:p>
    <w:p w14:paraId="1AC355CB" w14:textId="5092148A" w:rsidR="008821F9" w:rsidRDefault="008821F9" w:rsidP="00584B78">
      <w:pPr>
        <w:tabs>
          <w:tab w:val="clear" w:pos="284"/>
        </w:tabs>
        <w:spacing w:before="120" w:line="220" w:lineRule="exact"/>
        <w:rPr>
          <w:i/>
          <w:noProof/>
          <w:sz w:val="18"/>
          <w:lang w:val="en-US"/>
        </w:rPr>
      </w:pPr>
      <w:r>
        <w:rPr>
          <w:i/>
          <w:noProof/>
          <w:sz w:val="18"/>
          <w:lang w:val="en-US"/>
        </w:rPr>
        <w:t>Modulo 1</w:t>
      </w:r>
    </w:p>
    <w:p w14:paraId="63AFBA15" w14:textId="77777777" w:rsidR="008821F9" w:rsidRPr="008821F9" w:rsidRDefault="008821F9" w:rsidP="008821F9">
      <w:pPr>
        <w:pStyle w:val="Paragrafoelenco"/>
        <w:numPr>
          <w:ilvl w:val="0"/>
          <w:numId w:val="20"/>
        </w:numPr>
        <w:tabs>
          <w:tab w:val="clear" w:pos="284"/>
        </w:tabs>
        <w:spacing w:before="120" w:line="220" w:lineRule="exact"/>
        <w:rPr>
          <w:i/>
          <w:noProof/>
          <w:sz w:val="18"/>
          <w:lang w:val="en-US"/>
        </w:rPr>
      </w:pPr>
      <w:r w:rsidRPr="008821F9">
        <w:rPr>
          <w:i/>
          <w:noProof/>
          <w:sz w:val="18"/>
          <w:lang w:val="en-US"/>
        </w:rPr>
        <w:t>Fetting, C. (2020). “The European Green Deal”, ESDN Report, December 2020, ESDN Office, Vienna.</w:t>
      </w:r>
    </w:p>
    <w:p w14:paraId="0F2ADA49" w14:textId="6D616BA7" w:rsidR="008821F9" w:rsidRPr="008821F9" w:rsidRDefault="008821F9" w:rsidP="008821F9">
      <w:pPr>
        <w:pStyle w:val="Paragrafoelenco"/>
        <w:numPr>
          <w:ilvl w:val="0"/>
          <w:numId w:val="20"/>
        </w:numPr>
        <w:tabs>
          <w:tab w:val="clear" w:pos="284"/>
        </w:tabs>
        <w:spacing w:before="120" w:line="220" w:lineRule="exact"/>
        <w:rPr>
          <w:i/>
          <w:noProof/>
          <w:sz w:val="18"/>
          <w:lang w:val="en-US"/>
        </w:rPr>
      </w:pPr>
      <w:r w:rsidRPr="008821F9">
        <w:rPr>
          <w:i/>
          <w:noProof/>
          <w:sz w:val="18"/>
          <w:lang w:val="en-US"/>
        </w:rPr>
        <w:t xml:space="preserve">Apollonia Miola, Fritz Schiltz (2019), “Measuring sustainable development goals performance: How to monitor policy action in the 2030 Agenda implementation?, Ecological Economics, Volume 164, 2019, 106373, ISSN 0921-8009, </w:t>
      </w:r>
      <w:hyperlink r:id="rId12" w:history="1">
        <w:r w:rsidRPr="008821F9">
          <w:rPr>
            <w:rStyle w:val="Collegamentoipertestuale"/>
            <w:i/>
            <w:noProof/>
            <w:sz w:val="18"/>
            <w:lang w:val="en-US"/>
          </w:rPr>
          <w:t>https://doi.org/10.1016/j.ecolecon.2019.106373</w:t>
        </w:r>
      </w:hyperlink>
      <w:r w:rsidRPr="008821F9">
        <w:rPr>
          <w:i/>
          <w:noProof/>
          <w:sz w:val="18"/>
          <w:lang w:val="en-US"/>
        </w:rPr>
        <w:t>.</w:t>
      </w:r>
    </w:p>
    <w:p w14:paraId="055B968D" w14:textId="4C784B5A" w:rsidR="008821F9" w:rsidRPr="008821F9" w:rsidRDefault="008821F9" w:rsidP="008821F9">
      <w:pPr>
        <w:pStyle w:val="Paragrafoelenco"/>
        <w:numPr>
          <w:ilvl w:val="0"/>
          <w:numId w:val="20"/>
        </w:numPr>
        <w:tabs>
          <w:tab w:val="clear" w:pos="284"/>
        </w:tabs>
        <w:spacing w:before="120" w:line="220" w:lineRule="exact"/>
        <w:rPr>
          <w:i/>
          <w:noProof/>
          <w:sz w:val="18"/>
          <w:lang w:val="en-US"/>
        </w:rPr>
      </w:pPr>
      <w:r w:rsidRPr="008821F9">
        <w:rPr>
          <w:i/>
          <w:noProof/>
          <w:sz w:val="18"/>
        </w:rPr>
        <w:t xml:space="preserve">Codogno, L., van den Noord, P. (2022). </w:t>
      </w:r>
      <w:r w:rsidRPr="008821F9">
        <w:rPr>
          <w:i/>
          <w:noProof/>
          <w:sz w:val="18"/>
          <w:lang w:val="en-US"/>
        </w:rPr>
        <w:t xml:space="preserve">Assessing Next Generation EU. In: Paganetto, L. (eds) Economic Challenges for Europe After the Pandemic. Springer Proceedings in Business and Economics. Springer, Cham. </w:t>
      </w:r>
      <w:hyperlink r:id="rId13" w:history="1">
        <w:r w:rsidRPr="008821F9">
          <w:rPr>
            <w:rStyle w:val="Collegamentoipertestuale"/>
            <w:i/>
            <w:noProof/>
            <w:sz w:val="18"/>
            <w:lang w:val="en-US"/>
          </w:rPr>
          <w:t>https://doi.org/10.1007/978-3-031-10302-5_5</w:t>
        </w:r>
      </w:hyperlink>
    </w:p>
    <w:p w14:paraId="4B35C579" w14:textId="441CD380" w:rsidR="008821F9" w:rsidRPr="008821F9" w:rsidRDefault="008821F9" w:rsidP="008821F9">
      <w:pPr>
        <w:pStyle w:val="Paragrafoelenco"/>
        <w:numPr>
          <w:ilvl w:val="0"/>
          <w:numId w:val="20"/>
        </w:numPr>
        <w:tabs>
          <w:tab w:val="clear" w:pos="284"/>
        </w:tabs>
        <w:spacing w:before="120" w:line="220" w:lineRule="exact"/>
        <w:rPr>
          <w:i/>
          <w:noProof/>
          <w:sz w:val="18"/>
          <w:lang w:val="en-US"/>
        </w:rPr>
      </w:pPr>
      <w:r w:rsidRPr="008821F9">
        <w:rPr>
          <w:i/>
          <w:noProof/>
          <w:sz w:val="18"/>
          <w:lang w:val="en-US"/>
        </w:rPr>
        <w:lastRenderedPageBreak/>
        <w:t xml:space="preserve">Laurent A. Lambert, Jad Tayah, Caroline Lee-Schmid, Monged Abdalla, Ismail Abdallah, Abdalftah H.M. Ali, Suhail Esmail, Waleed Ahmed (2022), “The EU's natural gas Cold War and diversification challenges”, Energy Strategy Reviews, Volume 43, 2022, 100934,, ISSN 2211-467X,, </w:t>
      </w:r>
      <w:hyperlink r:id="rId14" w:history="1">
        <w:r w:rsidRPr="008821F9">
          <w:rPr>
            <w:rStyle w:val="Collegamentoipertestuale"/>
            <w:i/>
            <w:noProof/>
            <w:sz w:val="18"/>
            <w:lang w:val="en-US"/>
          </w:rPr>
          <w:t>https://doi.org/10.1016/j.esr.2022.100934</w:t>
        </w:r>
      </w:hyperlink>
    </w:p>
    <w:p w14:paraId="40C0313A" w14:textId="11A70C5D" w:rsidR="008821F9" w:rsidRPr="00584B78" w:rsidRDefault="008821F9" w:rsidP="00584B78">
      <w:pPr>
        <w:tabs>
          <w:tab w:val="clear" w:pos="284"/>
        </w:tabs>
        <w:spacing w:before="120" w:line="220" w:lineRule="exact"/>
        <w:rPr>
          <w:i/>
          <w:noProof/>
          <w:sz w:val="18"/>
          <w:lang w:val="en-US"/>
        </w:rPr>
      </w:pPr>
      <w:r>
        <w:rPr>
          <w:i/>
          <w:noProof/>
          <w:sz w:val="18"/>
          <w:lang w:val="en-US"/>
        </w:rPr>
        <w:t>Modulo 2</w:t>
      </w:r>
    </w:p>
    <w:p w14:paraId="168E6987"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Barca F., McCann P. and Rodriguez Pose A., </w:t>
      </w:r>
      <w:r w:rsidRPr="00CE750C">
        <w:rPr>
          <w:i/>
          <w:noProof/>
          <w:sz w:val="18"/>
          <w:lang w:val="en-US"/>
        </w:rPr>
        <w:t>The case for regional development intervention: Place-based versus place-neutral approaches</w:t>
      </w:r>
      <w:r w:rsidRPr="00584B78">
        <w:rPr>
          <w:noProof/>
          <w:sz w:val="18"/>
          <w:lang w:val="en-US"/>
        </w:rPr>
        <w:t>, WP series in Economics and Social Sciences, IMDEA, 2011</w:t>
      </w:r>
    </w:p>
    <w:p w14:paraId="0E21B48E" w14:textId="0E7E5F5E"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Guastella G. - Timpano F., </w:t>
      </w:r>
      <w:r w:rsidRPr="00CE750C">
        <w:rPr>
          <w:i/>
          <w:noProof/>
          <w:sz w:val="18"/>
          <w:lang w:val="en-US"/>
        </w:rPr>
        <w:t>Knowledge, innovation, agglomeration and regional convergence in the EU: motivating place-based regional intervention</w:t>
      </w:r>
      <w:r w:rsidRPr="00584B78">
        <w:rPr>
          <w:noProof/>
          <w:sz w:val="18"/>
          <w:lang w:val="en-US"/>
        </w:rPr>
        <w:t>, Review of Regional Studies, 2016</w:t>
      </w:r>
    </w:p>
    <w:p w14:paraId="3E1862A9" w14:textId="7DE5F2B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Fabrizi E,, Guastella G., Marta S. &amp; F. Timpano, </w:t>
      </w:r>
      <w:r w:rsidRPr="00CE750C">
        <w:rPr>
          <w:i/>
          <w:noProof/>
          <w:sz w:val="18"/>
          <w:lang w:val="en-US"/>
        </w:rPr>
        <w:t>Determinants of intra distribution dynamics in European regions: an empirical assessment of the role of structural funds</w:t>
      </w:r>
      <w:r w:rsidRPr="00584B78">
        <w:rPr>
          <w:noProof/>
          <w:sz w:val="18"/>
          <w:lang w:val="en-US"/>
        </w:rPr>
        <w:t>, Tijdschrift voor Economische en Sociale Geografie, 2015</w:t>
      </w:r>
    </w:p>
    <w:p w14:paraId="7F49DB2F"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Krugman P., </w:t>
      </w:r>
      <w:r w:rsidRPr="00CE750C">
        <w:rPr>
          <w:i/>
          <w:noProof/>
          <w:sz w:val="18"/>
          <w:lang w:val="en-US"/>
        </w:rPr>
        <w:t>Territorial competitiveness: a dangerous obsession</w:t>
      </w:r>
      <w:r w:rsidRPr="00584B78">
        <w:rPr>
          <w:noProof/>
          <w:sz w:val="18"/>
          <w:lang w:val="en-US"/>
        </w:rPr>
        <w:t>, Policy Affairs, 1994</w:t>
      </w:r>
    </w:p>
    <w:p w14:paraId="4F6AA0A5"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Lall S, </w:t>
      </w:r>
      <w:r w:rsidRPr="00CE750C">
        <w:rPr>
          <w:i/>
          <w:noProof/>
          <w:sz w:val="18"/>
          <w:lang w:val="en-US"/>
        </w:rPr>
        <w:t>Competitiveness Indices and Developing Countries: An Economic Evaluation of the Global Competitiveness Report</w:t>
      </w:r>
      <w:r w:rsidRPr="00584B78">
        <w:rPr>
          <w:noProof/>
          <w:sz w:val="18"/>
          <w:lang w:val="en-US"/>
        </w:rPr>
        <w:t>, World Development, 2001</w:t>
      </w:r>
    </w:p>
    <w:p w14:paraId="48A1BC79" w14:textId="77777777"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 xml:space="preserve">Carlini, </w:t>
      </w:r>
      <w:r w:rsidRPr="00CE750C">
        <w:rPr>
          <w:i/>
          <w:noProof/>
          <w:sz w:val="18"/>
        </w:rPr>
        <w:t>Nuove politiche industriali per la trasformazione digitale delle imprese. Il Piano Nazionale Industria 4.0</w:t>
      </w:r>
      <w:r w:rsidRPr="00584B78">
        <w:rPr>
          <w:noProof/>
          <w:sz w:val="18"/>
        </w:rPr>
        <w:t xml:space="preserve">, Economia Italiana, 2017, 1-2-3 </w:t>
      </w:r>
    </w:p>
    <w:p w14:paraId="7FC84253" w14:textId="5A444133"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Fiasché</w:t>
      </w:r>
      <w:r w:rsidR="00457378">
        <w:rPr>
          <w:noProof/>
          <w:sz w:val="18"/>
          <w:lang w:val="en-US"/>
        </w:rPr>
        <w:t>,</w:t>
      </w:r>
      <w:r w:rsidRPr="00584B78">
        <w:rPr>
          <w:noProof/>
          <w:sz w:val="18"/>
          <w:lang w:val="en-US"/>
        </w:rPr>
        <w:t xml:space="preserve"> M.</w:t>
      </w:r>
      <w:r w:rsidR="00457378">
        <w:rPr>
          <w:noProof/>
          <w:sz w:val="18"/>
          <w:lang w:val="en-US"/>
        </w:rPr>
        <w:t xml:space="preserve">, </w:t>
      </w:r>
      <w:r w:rsidRPr="00584B78">
        <w:rPr>
          <w:noProof/>
          <w:sz w:val="18"/>
          <w:lang w:val="en-US"/>
        </w:rPr>
        <w:t>Timpano</w:t>
      </w:r>
      <w:r w:rsidR="00457378">
        <w:rPr>
          <w:noProof/>
          <w:sz w:val="18"/>
          <w:lang w:val="en-US"/>
        </w:rPr>
        <w:t>,</w:t>
      </w:r>
      <w:r w:rsidRPr="00584B78">
        <w:rPr>
          <w:noProof/>
          <w:sz w:val="18"/>
          <w:lang w:val="en-US"/>
        </w:rPr>
        <w:t xml:space="preserve"> F., </w:t>
      </w:r>
      <w:r w:rsidRPr="00CE750C">
        <w:rPr>
          <w:i/>
          <w:noProof/>
          <w:sz w:val="18"/>
          <w:lang w:val="en-US"/>
        </w:rPr>
        <w:t>The Italian approach to Industry 4.0: policy approach and managerial implications in a SMEs environment</w:t>
      </w:r>
      <w:r w:rsidRPr="00584B78">
        <w:rPr>
          <w:noProof/>
          <w:sz w:val="18"/>
          <w:lang w:val="en-US"/>
        </w:rPr>
        <w:t>, S</w:t>
      </w:r>
      <w:r w:rsidR="00457378">
        <w:rPr>
          <w:noProof/>
          <w:sz w:val="18"/>
          <w:lang w:val="en-US"/>
        </w:rPr>
        <w:t>p</w:t>
      </w:r>
      <w:r w:rsidRPr="00584B78">
        <w:rPr>
          <w:noProof/>
          <w:sz w:val="18"/>
          <w:lang w:val="en-US"/>
        </w:rPr>
        <w:t>ringer-Aedem, 2018</w:t>
      </w:r>
    </w:p>
    <w:p w14:paraId="40A55839" w14:textId="07861D78"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Timpano</w:t>
      </w:r>
      <w:r w:rsidR="00457378">
        <w:rPr>
          <w:noProof/>
          <w:sz w:val="18"/>
        </w:rPr>
        <w:t>, F.</w:t>
      </w:r>
      <w:r w:rsidRPr="00584B78">
        <w:rPr>
          <w:noProof/>
          <w:sz w:val="18"/>
        </w:rPr>
        <w:t xml:space="preserve">, </w:t>
      </w:r>
      <w:r w:rsidRPr="00CE750C">
        <w:rPr>
          <w:i/>
          <w:noProof/>
          <w:sz w:val="18"/>
        </w:rPr>
        <w:t>Cluster produttivi e sviluppo locale: il problema dell'unità di analisi</w:t>
      </w:r>
      <w:r w:rsidRPr="00584B78">
        <w:rPr>
          <w:noProof/>
          <w:sz w:val="18"/>
        </w:rPr>
        <w:t xml:space="preserve"> in Ciciott</w:t>
      </w:r>
      <w:r w:rsidR="00457378">
        <w:rPr>
          <w:noProof/>
          <w:sz w:val="18"/>
        </w:rPr>
        <w:t xml:space="preserve">i E. – </w:t>
      </w:r>
      <w:r w:rsidRPr="00584B78">
        <w:rPr>
          <w:noProof/>
          <w:sz w:val="18"/>
        </w:rPr>
        <w:t>Rizzi</w:t>
      </w:r>
      <w:r w:rsidR="00457378">
        <w:rPr>
          <w:noProof/>
          <w:sz w:val="18"/>
        </w:rPr>
        <w:t xml:space="preserve"> P.</w:t>
      </w:r>
      <w:r w:rsidRPr="00584B78">
        <w:rPr>
          <w:noProof/>
          <w:sz w:val="18"/>
        </w:rPr>
        <w:t>, Politiche per lo sviluppo territoriale, Carocci, 2005</w:t>
      </w:r>
    </w:p>
    <w:p w14:paraId="2236561B" w14:textId="33AFA469" w:rsidR="009B5DB3" w:rsidRPr="00D54AA9" w:rsidRDefault="00584B78" w:rsidP="7145481A">
      <w:pPr>
        <w:numPr>
          <w:ilvl w:val="0"/>
          <w:numId w:val="12"/>
        </w:numPr>
        <w:tabs>
          <w:tab w:val="clear" w:pos="284"/>
        </w:tabs>
        <w:spacing w:before="120" w:line="220" w:lineRule="exact"/>
        <w:rPr>
          <w:noProof/>
          <w:sz w:val="18"/>
          <w:szCs w:val="18"/>
          <w:lang w:val="en-US"/>
        </w:rPr>
      </w:pPr>
      <w:r w:rsidRPr="00CE750C">
        <w:rPr>
          <w:noProof/>
          <w:sz w:val="18"/>
          <w:szCs w:val="18"/>
          <w:lang w:val="en-US"/>
        </w:rPr>
        <w:t>Calegari</w:t>
      </w:r>
      <w:r w:rsidR="00457378">
        <w:rPr>
          <w:noProof/>
          <w:sz w:val="18"/>
          <w:szCs w:val="18"/>
          <w:lang w:val="en-US"/>
        </w:rPr>
        <w:t>,</w:t>
      </w:r>
      <w:r w:rsidRPr="00CE750C">
        <w:rPr>
          <w:noProof/>
          <w:sz w:val="18"/>
          <w:szCs w:val="18"/>
          <w:lang w:val="en-US"/>
        </w:rPr>
        <w:t xml:space="preserve"> E.</w:t>
      </w:r>
      <w:r w:rsidR="00457378">
        <w:rPr>
          <w:noProof/>
          <w:sz w:val="18"/>
          <w:szCs w:val="18"/>
          <w:lang w:val="en-US"/>
        </w:rPr>
        <w:t xml:space="preserve">, </w:t>
      </w:r>
      <w:r w:rsidRPr="00CE750C">
        <w:rPr>
          <w:noProof/>
          <w:sz w:val="18"/>
          <w:szCs w:val="18"/>
          <w:lang w:val="en-US"/>
        </w:rPr>
        <w:t>Fabrizi</w:t>
      </w:r>
      <w:r w:rsidR="00457378">
        <w:rPr>
          <w:noProof/>
          <w:sz w:val="18"/>
          <w:szCs w:val="18"/>
          <w:lang w:val="en-US"/>
        </w:rPr>
        <w:t>,</w:t>
      </w:r>
      <w:r w:rsidRPr="00CE750C">
        <w:rPr>
          <w:noProof/>
          <w:sz w:val="18"/>
          <w:szCs w:val="18"/>
          <w:lang w:val="en-US"/>
        </w:rPr>
        <w:t xml:space="preserve"> E.</w:t>
      </w:r>
      <w:r w:rsidR="00457378">
        <w:rPr>
          <w:noProof/>
          <w:sz w:val="18"/>
          <w:szCs w:val="18"/>
          <w:lang w:val="en-US"/>
        </w:rPr>
        <w:t xml:space="preserve">, </w:t>
      </w:r>
      <w:r w:rsidRPr="00CE750C">
        <w:rPr>
          <w:noProof/>
          <w:sz w:val="18"/>
          <w:szCs w:val="18"/>
          <w:lang w:val="en-US"/>
        </w:rPr>
        <w:t>Guastella G.</w:t>
      </w:r>
      <w:r w:rsidR="00457378">
        <w:rPr>
          <w:noProof/>
          <w:sz w:val="18"/>
          <w:szCs w:val="18"/>
          <w:lang w:val="en-US"/>
        </w:rPr>
        <w:t xml:space="preserve">, </w:t>
      </w:r>
      <w:r w:rsidRPr="00CE750C">
        <w:rPr>
          <w:noProof/>
          <w:sz w:val="18"/>
          <w:szCs w:val="18"/>
          <w:lang w:val="en-US"/>
        </w:rPr>
        <w:t xml:space="preserve">Timpano F., </w:t>
      </w:r>
      <w:r w:rsidRPr="00CE750C">
        <w:rPr>
          <w:i/>
          <w:noProof/>
          <w:sz w:val="18"/>
          <w:szCs w:val="18"/>
          <w:lang w:val="en-US"/>
        </w:rPr>
        <w:t>Reconsidering the drivers of territorial innovation: new evidence on the spatial knowledge production function in the EU Regions</w:t>
      </w:r>
      <w:r w:rsidRPr="00CE750C">
        <w:rPr>
          <w:noProof/>
          <w:sz w:val="18"/>
          <w:szCs w:val="18"/>
          <w:lang w:val="en-US"/>
        </w:rPr>
        <w:t>, Rivista Internazionale di scienze sociali, n.3 – 2017</w:t>
      </w:r>
    </w:p>
    <w:p w14:paraId="0670D53B" w14:textId="77777777" w:rsidR="008821F9" w:rsidRDefault="00584B78" w:rsidP="008821F9">
      <w:pPr>
        <w:tabs>
          <w:tab w:val="clear" w:pos="284"/>
        </w:tabs>
        <w:spacing w:before="120" w:line="220" w:lineRule="exact"/>
        <w:rPr>
          <w:i/>
          <w:iCs/>
          <w:noProof/>
          <w:sz w:val="18"/>
          <w:szCs w:val="18"/>
        </w:rPr>
      </w:pPr>
      <w:r w:rsidRPr="008821F9">
        <w:rPr>
          <w:i/>
          <w:iCs/>
          <w:noProof/>
          <w:sz w:val="18"/>
          <w:szCs w:val="18"/>
        </w:rPr>
        <w:t>Rapporti</w:t>
      </w:r>
    </w:p>
    <w:p w14:paraId="2B69D743" w14:textId="48B01AA8" w:rsidR="009B5DB3" w:rsidRPr="008821F9" w:rsidDel="00D54AA9" w:rsidRDefault="008821F9" w:rsidP="008821F9">
      <w:pPr>
        <w:pStyle w:val="Paragrafoelenco"/>
        <w:numPr>
          <w:ilvl w:val="0"/>
          <w:numId w:val="19"/>
        </w:numPr>
        <w:tabs>
          <w:tab w:val="clear" w:pos="284"/>
        </w:tabs>
        <w:spacing w:before="120" w:line="220" w:lineRule="exact"/>
        <w:rPr>
          <w:i/>
          <w:iCs/>
          <w:noProof/>
          <w:sz w:val="18"/>
          <w:szCs w:val="18"/>
        </w:rPr>
      </w:pPr>
      <w:r w:rsidRPr="008821F9">
        <w:rPr>
          <w:noProof/>
          <w:sz w:val="18"/>
          <w:szCs w:val="18"/>
        </w:rPr>
        <w:t>E</w:t>
      </w:r>
      <w:r>
        <w:rPr>
          <w:noProof/>
          <w:sz w:val="18"/>
          <w:szCs w:val="18"/>
        </w:rPr>
        <w:t>U</w:t>
      </w:r>
      <w:r w:rsidRPr="008821F9">
        <w:rPr>
          <w:noProof/>
          <w:sz w:val="18"/>
          <w:szCs w:val="18"/>
        </w:rPr>
        <w:t xml:space="preserve"> Commission, </w:t>
      </w:r>
      <w:r w:rsidR="00584B78" w:rsidRPr="008821F9">
        <w:rPr>
          <w:noProof/>
          <w:sz w:val="18"/>
          <w:szCs w:val="18"/>
        </w:rPr>
        <w:t>“</w:t>
      </w:r>
      <w:r w:rsidRPr="008821F9">
        <w:rPr>
          <w:i/>
          <w:noProof/>
          <w:sz w:val="18"/>
          <w:szCs w:val="18"/>
        </w:rPr>
        <w:t>La coesione in Europa in vista del 2050</w:t>
      </w:r>
      <w:r w:rsidR="00584B78" w:rsidRPr="008821F9">
        <w:rPr>
          <w:noProof/>
          <w:sz w:val="18"/>
          <w:szCs w:val="18"/>
        </w:rPr>
        <w:t xml:space="preserve">”, </w:t>
      </w:r>
      <w:r w:rsidRPr="008821F9">
        <w:rPr>
          <w:noProof/>
          <w:sz w:val="18"/>
          <w:szCs w:val="18"/>
        </w:rPr>
        <w:t>Ottava</w:t>
      </w:r>
      <w:r w:rsidR="00584B78" w:rsidRPr="008821F9">
        <w:rPr>
          <w:noProof/>
          <w:sz w:val="18"/>
          <w:szCs w:val="18"/>
        </w:rPr>
        <w:t xml:space="preserve"> relazione sulla coesione economica sociale e territoriale in Europa, </w:t>
      </w:r>
      <w:r w:rsidRPr="008821F9">
        <w:rPr>
          <w:noProof/>
          <w:sz w:val="18"/>
          <w:szCs w:val="18"/>
        </w:rPr>
        <w:t>2021</w:t>
      </w:r>
    </w:p>
    <w:p w14:paraId="41C7E602" w14:textId="2537104B" w:rsidR="009B5DB3" w:rsidRPr="00584B78" w:rsidRDefault="008821F9" w:rsidP="7145481A">
      <w:pPr>
        <w:numPr>
          <w:ilvl w:val="0"/>
          <w:numId w:val="11"/>
        </w:numPr>
        <w:tabs>
          <w:tab w:val="clear" w:pos="284"/>
        </w:tabs>
        <w:spacing w:before="120" w:line="220" w:lineRule="exact"/>
        <w:rPr>
          <w:noProof/>
          <w:sz w:val="18"/>
          <w:szCs w:val="18"/>
          <w:lang w:val="en-US"/>
        </w:rPr>
      </w:pPr>
      <w:r w:rsidRPr="7145481A">
        <w:rPr>
          <w:noProof/>
          <w:sz w:val="18"/>
          <w:szCs w:val="18"/>
          <w:lang w:val="en-US"/>
        </w:rPr>
        <w:t xml:space="preserve">World Economic Forum, </w:t>
      </w:r>
      <w:r>
        <w:rPr>
          <w:i/>
          <w:noProof/>
          <w:sz w:val="18"/>
          <w:szCs w:val="18"/>
          <w:lang w:val="en-US"/>
        </w:rPr>
        <w:t>“</w:t>
      </w:r>
      <w:r w:rsidR="00584B78" w:rsidRPr="00CE750C">
        <w:rPr>
          <w:i/>
          <w:noProof/>
          <w:sz w:val="18"/>
          <w:szCs w:val="18"/>
          <w:lang w:val="en-US"/>
        </w:rPr>
        <w:t>Global Competitiveness Report</w:t>
      </w:r>
      <w:r w:rsidR="00584B78" w:rsidRPr="7145481A">
        <w:rPr>
          <w:noProof/>
          <w:sz w:val="18"/>
          <w:szCs w:val="18"/>
          <w:lang w:val="en-US"/>
        </w:rPr>
        <w:t xml:space="preserve"> 20</w:t>
      </w:r>
      <w:r w:rsidR="00457378">
        <w:rPr>
          <w:noProof/>
          <w:sz w:val="18"/>
          <w:szCs w:val="18"/>
          <w:lang w:val="en-US"/>
        </w:rPr>
        <w:t>20</w:t>
      </w:r>
      <w:r>
        <w:rPr>
          <w:noProof/>
          <w:sz w:val="18"/>
          <w:szCs w:val="18"/>
          <w:lang w:val="en-US"/>
        </w:rPr>
        <w:t>”</w:t>
      </w:r>
      <w:r w:rsidR="00584B78" w:rsidRPr="7145481A">
        <w:rPr>
          <w:noProof/>
          <w:sz w:val="18"/>
          <w:szCs w:val="18"/>
          <w:lang w:val="en-US"/>
        </w:rPr>
        <w:t>, 20</w:t>
      </w:r>
      <w:r w:rsidR="00457378">
        <w:rPr>
          <w:noProof/>
          <w:sz w:val="18"/>
          <w:szCs w:val="18"/>
          <w:lang w:val="en-US"/>
        </w:rPr>
        <w:t>2</w:t>
      </w:r>
      <w:r w:rsidR="00F34266">
        <w:rPr>
          <w:noProof/>
          <w:sz w:val="18"/>
          <w:szCs w:val="18"/>
          <w:lang w:val="en-US"/>
        </w:rPr>
        <w:t>1</w:t>
      </w:r>
    </w:p>
    <w:p w14:paraId="09E45D7D" w14:textId="555071B2" w:rsidR="00D54AA9" w:rsidRPr="00CE750C" w:rsidRDefault="00584B78" w:rsidP="7145481A">
      <w:pPr>
        <w:numPr>
          <w:ilvl w:val="0"/>
          <w:numId w:val="11"/>
        </w:numPr>
        <w:tabs>
          <w:tab w:val="clear" w:pos="284"/>
        </w:tabs>
        <w:spacing w:before="120" w:line="220" w:lineRule="exact"/>
        <w:rPr>
          <w:rFonts w:eastAsia="Times" w:cs="Times"/>
          <w:noProof/>
          <w:sz w:val="18"/>
          <w:szCs w:val="18"/>
          <w:lang w:val="en-US"/>
        </w:rPr>
      </w:pPr>
      <w:r w:rsidRPr="7145481A">
        <w:rPr>
          <w:noProof/>
          <w:sz w:val="18"/>
          <w:szCs w:val="18"/>
          <w:lang w:val="en-US"/>
        </w:rPr>
        <w:t xml:space="preserve">EU Commission, </w:t>
      </w:r>
      <w:r w:rsidR="008821F9">
        <w:rPr>
          <w:noProof/>
          <w:sz w:val="18"/>
          <w:szCs w:val="18"/>
          <w:lang w:val="en-US"/>
        </w:rPr>
        <w:t>“</w:t>
      </w:r>
      <w:r w:rsidRPr="00CE750C">
        <w:rPr>
          <w:i/>
          <w:noProof/>
          <w:sz w:val="18"/>
          <w:szCs w:val="18"/>
          <w:lang w:val="en-US"/>
        </w:rPr>
        <w:t>European Innovation Scoreboard</w:t>
      </w:r>
      <w:r w:rsidR="008821F9">
        <w:rPr>
          <w:i/>
          <w:noProof/>
          <w:sz w:val="18"/>
          <w:szCs w:val="18"/>
          <w:lang w:val="en-US"/>
        </w:rPr>
        <w:t xml:space="preserve">”, </w:t>
      </w:r>
      <w:r w:rsidRPr="00CE750C">
        <w:rPr>
          <w:i/>
          <w:noProof/>
          <w:sz w:val="18"/>
          <w:szCs w:val="18"/>
          <w:lang w:val="en-US"/>
        </w:rPr>
        <w:t xml:space="preserve"> 20</w:t>
      </w:r>
      <w:r w:rsidR="008821F9">
        <w:rPr>
          <w:i/>
          <w:noProof/>
          <w:sz w:val="18"/>
          <w:szCs w:val="18"/>
          <w:lang w:val="en-US"/>
        </w:rPr>
        <w:t>22</w:t>
      </w:r>
    </w:p>
    <w:p w14:paraId="173E9EA2" w14:textId="6535F386" w:rsidR="00457378" w:rsidRDefault="0077634C" w:rsidP="7145481A">
      <w:pPr>
        <w:numPr>
          <w:ilvl w:val="0"/>
          <w:numId w:val="11"/>
        </w:numPr>
        <w:tabs>
          <w:tab w:val="clear" w:pos="284"/>
        </w:tabs>
        <w:spacing w:before="120" w:line="220" w:lineRule="exact"/>
        <w:rPr>
          <w:rFonts w:eastAsia="Times" w:cs="Times"/>
          <w:noProof/>
          <w:sz w:val="18"/>
          <w:szCs w:val="18"/>
        </w:rPr>
      </w:pPr>
      <w:r>
        <w:rPr>
          <w:rFonts w:eastAsia="Times" w:cs="Times"/>
          <w:noProof/>
          <w:sz w:val="18"/>
          <w:szCs w:val="18"/>
        </w:rPr>
        <w:t xml:space="preserve">ASVIS, </w:t>
      </w:r>
      <w:r w:rsidR="008821F9">
        <w:rPr>
          <w:rFonts w:eastAsia="Times" w:cs="Times"/>
          <w:noProof/>
          <w:sz w:val="18"/>
          <w:szCs w:val="18"/>
        </w:rPr>
        <w:t>“</w:t>
      </w:r>
      <w:r w:rsidR="00457378" w:rsidRPr="00CE750C">
        <w:rPr>
          <w:rFonts w:eastAsia="Times" w:cs="Times"/>
          <w:i/>
          <w:noProof/>
          <w:sz w:val="18"/>
          <w:szCs w:val="18"/>
        </w:rPr>
        <w:t>Rapporto ASVIS sullo sviluppo sostenibile</w:t>
      </w:r>
      <w:r w:rsidR="008821F9">
        <w:rPr>
          <w:rFonts w:eastAsia="Times" w:cs="Times"/>
          <w:i/>
          <w:noProof/>
          <w:sz w:val="18"/>
          <w:szCs w:val="18"/>
        </w:rPr>
        <w:t>”</w:t>
      </w:r>
      <w:r w:rsidR="00457378">
        <w:rPr>
          <w:rFonts w:eastAsia="Times" w:cs="Times"/>
          <w:noProof/>
          <w:sz w:val="18"/>
          <w:szCs w:val="18"/>
        </w:rPr>
        <w:t>, 202</w:t>
      </w:r>
      <w:r w:rsidR="008821F9">
        <w:rPr>
          <w:rFonts w:eastAsia="Times" w:cs="Times"/>
          <w:noProof/>
          <w:sz w:val="18"/>
          <w:szCs w:val="18"/>
        </w:rPr>
        <w:t>2</w:t>
      </w:r>
    </w:p>
    <w:p w14:paraId="197E077F" w14:textId="617BDC97" w:rsidR="008821F9" w:rsidRPr="008821F9" w:rsidRDefault="008821F9" w:rsidP="7145481A">
      <w:pPr>
        <w:numPr>
          <w:ilvl w:val="0"/>
          <w:numId w:val="11"/>
        </w:numPr>
        <w:tabs>
          <w:tab w:val="clear" w:pos="284"/>
        </w:tabs>
        <w:spacing w:before="120" w:line="220" w:lineRule="exact"/>
        <w:rPr>
          <w:rFonts w:eastAsia="Times" w:cs="Times"/>
          <w:noProof/>
          <w:sz w:val="18"/>
          <w:szCs w:val="18"/>
          <w:lang w:val="en-US"/>
        </w:rPr>
      </w:pPr>
      <w:r w:rsidRPr="008821F9">
        <w:rPr>
          <w:rFonts w:eastAsia="Times" w:cs="Times"/>
          <w:noProof/>
          <w:sz w:val="18"/>
          <w:szCs w:val="18"/>
          <w:lang w:val="en-US"/>
        </w:rPr>
        <w:lastRenderedPageBreak/>
        <w:t xml:space="preserve">EIT Digital, </w:t>
      </w:r>
      <w:r>
        <w:rPr>
          <w:rFonts w:eastAsia="Times" w:cs="Times"/>
          <w:noProof/>
          <w:sz w:val="18"/>
          <w:szCs w:val="18"/>
          <w:lang w:val="en-US"/>
        </w:rPr>
        <w:t>“</w:t>
      </w:r>
      <w:r w:rsidRPr="008821F9">
        <w:rPr>
          <w:rFonts w:eastAsia="Times" w:cs="Times"/>
          <w:i/>
          <w:noProof/>
          <w:sz w:val="18"/>
          <w:szCs w:val="18"/>
          <w:lang w:val="en-US"/>
        </w:rPr>
        <w:t>Digital Transformazion of European Industry A policy perspective</w:t>
      </w:r>
      <w:r>
        <w:rPr>
          <w:rFonts w:eastAsia="Times" w:cs="Times"/>
          <w:i/>
          <w:noProof/>
          <w:sz w:val="18"/>
          <w:szCs w:val="18"/>
          <w:lang w:val="en-US"/>
        </w:rPr>
        <w:t>”</w:t>
      </w:r>
      <w:r>
        <w:rPr>
          <w:rFonts w:eastAsia="Times" w:cs="Times"/>
          <w:noProof/>
          <w:sz w:val="18"/>
          <w:szCs w:val="18"/>
          <w:lang w:val="en-US"/>
        </w:rPr>
        <w:t>, Full Report, 2019</w:t>
      </w:r>
    </w:p>
    <w:p w14:paraId="25564D99" w14:textId="77777777" w:rsidR="000717E5" w:rsidRPr="008821F9" w:rsidRDefault="000717E5" w:rsidP="002B431B">
      <w:pPr>
        <w:tabs>
          <w:tab w:val="clear" w:pos="284"/>
        </w:tabs>
        <w:spacing w:line="220" w:lineRule="exact"/>
        <w:rPr>
          <w:noProof/>
          <w:sz w:val="18"/>
          <w:szCs w:val="18"/>
          <w:lang w:val="en-US"/>
        </w:rPr>
      </w:pPr>
    </w:p>
    <w:p w14:paraId="7AEBAB10" w14:textId="77777777" w:rsidR="002B431B" w:rsidRPr="002B431B" w:rsidRDefault="002B431B" w:rsidP="000717E5">
      <w:pPr>
        <w:spacing w:before="120" w:line="220" w:lineRule="exact"/>
        <w:rPr>
          <w:b/>
          <w:i/>
          <w:sz w:val="18"/>
        </w:rPr>
      </w:pPr>
      <w:r w:rsidRPr="002B431B">
        <w:rPr>
          <w:b/>
          <w:i/>
          <w:sz w:val="18"/>
        </w:rPr>
        <w:t>DIDATTICA DEL CORSO</w:t>
      </w:r>
    </w:p>
    <w:p w14:paraId="3E0E85C4" w14:textId="1CB7A0BA" w:rsidR="002B431B" w:rsidRPr="002B431B" w:rsidRDefault="002B431B" w:rsidP="000717E5">
      <w:pPr>
        <w:tabs>
          <w:tab w:val="clear" w:pos="284"/>
        </w:tabs>
        <w:spacing w:before="120" w:line="220" w:lineRule="exact"/>
        <w:rPr>
          <w:noProof/>
          <w:sz w:val="18"/>
        </w:rPr>
      </w:pPr>
      <w:r w:rsidRPr="002B431B">
        <w:rPr>
          <w:noProof/>
          <w:sz w:val="18"/>
        </w:rPr>
        <w:t>La didattic</w:t>
      </w:r>
      <w:r w:rsidR="00F7769D">
        <w:rPr>
          <w:noProof/>
          <w:sz w:val="18"/>
        </w:rPr>
        <w:t xml:space="preserve">a è basata su lezioni frontali, seminari e </w:t>
      </w:r>
      <w:r w:rsidRPr="002B431B">
        <w:rPr>
          <w:noProof/>
          <w:sz w:val="18"/>
        </w:rPr>
        <w:t xml:space="preserve"> studio di casi. Saranno anche organizzate delle presentazioni degli studenti su argomenti del corso e momenti di valutazione intermedia.</w:t>
      </w:r>
      <w:r w:rsidR="00584B78">
        <w:rPr>
          <w:noProof/>
          <w:sz w:val="18"/>
        </w:rPr>
        <w:t xml:space="preserve"> Infine, delle forme di progettazione di politiche saranno implementate anche in forma di hackaton.</w:t>
      </w:r>
    </w:p>
    <w:p w14:paraId="4E2E7AE8" w14:textId="32128DB7" w:rsidR="002B431B" w:rsidRPr="002B431B" w:rsidRDefault="002B431B" w:rsidP="002B431B">
      <w:pPr>
        <w:spacing w:before="240" w:after="120" w:line="220" w:lineRule="exact"/>
        <w:rPr>
          <w:b/>
          <w:i/>
          <w:sz w:val="18"/>
        </w:rPr>
      </w:pPr>
      <w:r w:rsidRPr="002B431B">
        <w:rPr>
          <w:b/>
          <w:i/>
          <w:sz w:val="18"/>
        </w:rPr>
        <w:t xml:space="preserve">METODO </w:t>
      </w:r>
      <w:r w:rsidR="00DC73B0">
        <w:rPr>
          <w:b/>
          <w:i/>
          <w:sz w:val="18"/>
        </w:rPr>
        <w:t xml:space="preserve">E CRITERI </w:t>
      </w:r>
      <w:r w:rsidRPr="002B431B">
        <w:rPr>
          <w:b/>
          <w:i/>
          <w:sz w:val="18"/>
        </w:rPr>
        <w:t>DI VALUTAZIONE</w:t>
      </w:r>
    </w:p>
    <w:p w14:paraId="682DF3CA" w14:textId="77777777" w:rsidR="002B431B" w:rsidRDefault="005D3673" w:rsidP="556F5354">
      <w:pPr>
        <w:tabs>
          <w:tab w:val="clear" w:pos="284"/>
        </w:tabs>
        <w:spacing w:line="220" w:lineRule="exact"/>
        <w:rPr>
          <w:noProof/>
          <w:sz w:val="18"/>
          <w:szCs w:val="18"/>
        </w:rPr>
      </w:pPr>
      <w:r w:rsidRPr="556F5354">
        <w:rPr>
          <w:noProof/>
          <w:sz w:val="18"/>
          <w:szCs w:val="18"/>
        </w:rPr>
        <w:t>La valutazione è distinta tra studenti frequentanti che sostengono due prove intermedie e studenti non frequentanti che sostengono l’esame in un’unica soluzione.</w:t>
      </w:r>
    </w:p>
    <w:p w14:paraId="45EE8099" w14:textId="6AC794A4" w:rsidR="005D3673" w:rsidRDefault="005D3673" w:rsidP="002B431B">
      <w:pPr>
        <w:tabs>
          <w:tab w:val="clear" w:pos="284"/>
        </w:tabs>
        <w:spacing w:line="220" w:lineRule="exact"/>
        <w:rPr>
          <w:noProof/>
          <w:sz w:val="18"/>
        </w:rPr>
      </w:pPr>
      <w:r>
        <w:rPr>
          <w:noProof/>
          <w:sz w:val="18"/>
        </w:rPr>
        <w:t xml:space="preserve">Il primo gruppo di studenti dovrà rispondere a due domande in ognuna delle prove intermedie (da scegliersi tra due alternative per ogni domanda). Per la prima prova intermedia saranno proposte domande </w:t>
      </w:r>
      <w:r w:rsidR="00D52AF0">
        <w:rPr>
          <w:noProof/>
          <w:sz w:val="18"/>
        </w:rPr>
        <w:t xml:space="preserve">sul primo modulo </w:t>
      </w:r>
      <w:r>
        <w:rPr>
          <w:noProof/>
          <w:sz w:val="18"/>
        </w:rPr>
        <w:t xml:space="preserve"> (due per ogni parte da cui scegliere due domande) e per la seconda parte saranno proposte domande </w:t>
      </w:r>
      <w:r w:rsidR="00D52AF0">
        <w:rPr>
          <w:noProof/>
          <w:sz w:val="18"/>
        </w:rPr>
        <w:t>sul secondo modulo</w:t>
      </w:r>
      <w:r>
        <w:rPr>
          <w:noProof/>
          <w:sz w:val="18"/>
        </w:rPr>
        <w:t xml:space="preserve"> (due sulle politiche a sostegno dell’innovazione e due </w:t>
      </w:r>
      <w:r w:rsidR="00D52AF0">
        <w:rPr>
          <w:noProof/>
          <w:sz w:val="18"/>
        </w:rPr>
        <w:t>sulle politiche per la digitalizzazione</w:t>
      </w:r>
      <w:r>
        <w:rPr>
          <w:noProof/>
          <w:sz w:val="18"/>
        </w:rPr>
        <w:t xml:space="preserve">). </w:t>
      </w:r>
      <w:r w:rsidR="00F7769D">
        <w:rPr>
          <w:noProof/>
          <w:sz w:val="18"/>
        </w:rPr>
        <w:t>Il tempo per ogni prova intermedia è di 90’.</w:t>
      </w:r>
    </w:p>
    <w:p w14:paraId="69C83CDB" w14:textId="27133FA1" w:rsidR="005D3673" w:rsidRDefault="005D3673" w:rsidP="002B431B">
      <w:pPr>
        <w:tabs>
          <w:tab w:val="clear" w:pos="284"/>
        </w:tabs>
        <w:spacing w:line="220" w:lineRule="exact"/>
        <w:rPr>
          <w:noProof/>
          <w:sz w:val="18"/>
        </w:rPr>
      </w:pPr>
      <w:r>
        <w:rPr>
          <w:noProof/>
          <w:sz w:val="18"/>
        </w:rPr>
        <w:t xml:space="preserve">Gli studenti frequentanti </w:t>
      </w:r>
      <w:r w:rsidR="00457378">
        <w:rPr>
          <w:noProof/>
          <w:sz w:val="18"/>
        </w:rPr>
        <w:t xml:space="preserve">potranno partecipare al Laboratorio Next Generation EU che prevede la realizzazione di: un assessment nel primo semestre di approfondimento di una policy o di un programma di interventi e di un esercizio di proposta di correzioni di politiche o di promozione di programmi di investimento, coerenti con gli orientamenti del Next Generation EU. </w:t>
      </w:r>
      <w:r>
        <w:rPr>
          <w:noProof/>
          <w:sz w:val="18"/>
        </w:rPr>
        <w:t xml:space="preserve"> </w:t>
      </w:r>
      <w:r w:rsidR="00457378">
        <w:rPr>
          <w:noProof/>
          <w:sz w:val="18"/>
        </w:rPr>
        <w:t xml:space="preserve">I lavori saranno presentati nell’ambito di sessioni di discussione e di confronto e saranno oggetto di un Hackathon che permetterà un confronto con esperti e professionisti. </w:t>
      </w:r>
    </w:p>
    <w:p w14:paraId="36C76543" w14:textId="339C41DF" w:rsidR="00457378" w:rsidRDefault="00457378" w:rsidP="002B431B">
      <w:pPr>
        <w:tabs>
          <w:tab w:val="clear" w:pos="284"/>
        </w:tabs>
        <w:spacing w:line="220" w:lineRule="exact"/>
        <w:rPr>
          <w:noProof/>
          <w:sz w:val="18"/>
        </w:rPr>
      </w:pPr>
      <w:r>
        <w:rPr>
          <w:noProof/>
          <w:sz w:val="18"/>
        </w:rPr>
        <w:t>Per i frequentanti il voto complessivo sarà dato:</w:t>
      </w:r>
    </w:p>
    <w:p w14:paraId="0C97C8E7" w14:textId="41E63298" w:rsidR="00457378" w:rsidRDefault="00B86441" w:rsidP="00457378">
      <w:pPr>
        <w:pStyle w:val="Paragrafoelenco"/>
        <w:numPr>
          <w:ilvl w:val="0"/>
          <w:numId w:val="5"/>
        </w:numPr>
        <w:tabs>
          <w:tab w:val="clear" w:pos="284"/>
        </w:tabs>
        <w:spacing w:line="220" w:lineRule="exact"/>
        <w:rPr>
          <w:noProof/>
          <w:sz w:val="18"/>
        </w:rPr>
      </w:pPr>
      <w:r>
        <w:rPr>
          <w:noProof/>
          <w:sz w:val="18"/>
        </w:rPr>
        <w:t>Voto delle prove intermedie (60%);</w:t>
      </w:r>
    </w:p>
    <w:p w14:paraId="372FDA58" w14:textId="718BE31D" w:rsidR="00B86441" w:rsidRDefault="00B86441" w:rsidP="00457378">
      <w:pPr>
        <w:pStyle w:val="Paragrafoelenco"/>
        <w:numPr>
          <w:ilvl w:val="0"/>
          <w:numId w:val="5"/>
        </w:numPr>
        <w:tabs>
          <w:tab w:val="clear" w:pos="284"/>
        </w:tabs>
        <w:spacing w:line="220" w:lineRule="exact"/>
        <w:rPr>
          <w:noProof/>
          <w:sz w:val="18"/>
        </w:rPr>
      </w:pPr>
      <w:r>
        <w:rPr>
          <w:noProof/>
          <w:sz w:val="18"/>
        </w:rPr>
        <w:t>Voto dell’assessment del primo semestre di approfondimento (15%)</w:t>
      </w:r>
    </w:p>
    <w:p w14:paraId="1E94CA6B" w14:textId="35461740" w:rsidR="00B86441" w:rsidRPr="00CE750C" w:rsidRDefault="00B86441" w:rsidP="00CE750C">
      <w:pPr>
        <w:pStyle w:val="Paragrafoelenco"/>
        <w:numPr>
          <w:ilvl w:val="0"/>
          <w:numId w:val="5"/>
        </w:numPr>
        <w:tabs>
          <w:tab w:val="clear" w:pos="284"/>
        </w:tabs>
        <w:spacing w:line="220" w:lineRule="exact"/>
        <w:rPr>
          <w:noProof/>
          <w:sz w:val="18"/>
        </w:rPr>
      </w:pPr>
      <w:r>
        <w:rPr>
          <w:noProof/>
          <w:sz w:val="18"/>
        </w:rPr>
        <w:t>Voto sul lavoro per l’Hackathon (25%)</w:t>
      </w:r>
    </w:p>
    <w:p w14:paraId="41D37E24" w14:textId="77777777" w:rsidR="00F7769D" w:rsidRDefault="00F7769D" w:rsidP="002B431B">
      <w:pPr>
        <w:tabs>
          <w:tab w:val="clear" w:pos="284"/>
        </w:tabs>
        <w:spacing w:line="220" w:lineRule="exact"/>
        <w:rPr>
          <w:noProof/>
          <w:sz w:val="18"/>
        </w:rPr>
      </w:pPr>
    </w:p>
    <w:p w14:paraId="699B0A16" w14:textId="287CD995" w:rsidR="00F7769D" w:rsidRDefault="00F7769D" w:rsidP="71BEFABE">
      <w:pPr>
        <w:tabs>
          <w:tab w:val="clear" w:pos="284"/>
        </w:tabs>
        <w:spacing w:line="220" w:lineRule="exact"/>
        <w:rPr>
          <w:noProof/>
          <w:sz w:val="18"/>
          <w:szCs w:val="18"/>
        </w:rPr>
      </w:pPr>
      <w:r w:rsidRPr="71BEFABE">
        <w:rPr>
          <w:noProof/>
          <w:sz w:val="18"/>
          <w:szCs w:val="18"/>
        </w:rPr>
        <w:t xml:space="preserve">Gli studenti non frequentanti dovranno rispondere a cinque domande su </w:t>
      </w:r>
      <w:r w:rsidR="00297EBF" w:rsidRPr="71BEFABE">
        <w:rPr>
          <w:noProof/>
          <w:sz w:val="18"/>
          <w:szCs w:val="18"/>
        </w:rPr>
        <w:t xml:space="preserve">otto </w:t>
      </w:r>
      <w:r w:rsidRPr="71BEFABE">
        <w:rPr>
          <w:noProof/>
          <w:sz w:val="18"/>
          <w:szCs w:val="18"/>
        </w:rPr>
        <w:t>alternative proposte nel corso dell’esame finale (tempo concesso 2h30’).</w:t>
      </w:r>
    </w:p>
    <w:p w14:paraId="6FB20193" w14:textId="1AF3685B" w:rsidR="00D52AF0" w:rsidRPr="00C27DF5" w:rsidRDefault="00D52AF0" w:rsidP="002B431B">
      <w:pPr>
        <w:tabs>
          <w:tab w:val="clear" w:pos="284"/>
        </w:tabs>
        <w:spacing w:line="220" w:lineRule="exact"/>
        <w:rPr>
          <w:b/>
          <w:i/>
          <w:noProof/>
          <w:sz w:val="18"/>
        </w:rPr>
      </w:pPr>
    </w:p>
    <w:p w14:paraId="06F71998" w14:textId="231ECE4B" w:rsidR="00D52AF0" w:rsidRDefault="00D52AF0" w:rsidP="002B431B">
      <w:pPr>
        <w:tabs>
          <w:tab w:val="clear" w:pos="284"/>
        </w:tabs>
        <w:spacing w:line="220" w:lineRule="exact"/>
        <w:rPr>
          <w:noProof/>
          <w:sz w:val="18"/>
        </w:rPr>
      </w:pPr>
      <w:r w:rsidRPr="00C27DF5">
        <w:rPr>
          <w:b/>
          <w:i/>
          <w:noProof/>
          <w:sz w:val="18"/>
        </w:rPr>
        <w:t>AVVERTENZE E PREREQUISITI</w:t>
      </w:r>
    </w:p>
    <w:p w14:paraId="6FDCCA3E" w14:textId="044792CE" w:rsidR="00D52AF0" w:rsidRDefault="00D52AF0" w:rsidP="002B431B">
      <w:pPr>
        <w:tabs>
          <w:tab w:val="clear" w:pos="284"/>
        </w:tabs>
        <w:spacing w:line="220" w:lineRule="exact"/>
        <w:rPr>
          <w:noProof/>
          <w:sz w:val="18"/>
        </w:rPr>
      </w:pPr>
    </w:p>
    <w:p w14:paraId="48D79A10" w14:textId="5DAE26E7" w:rsidR="00D52AF0" w:rsidRPr="002B431B" w:rsidRDefault="00D52AF0" w:rsidP="002B431B">
      <w:pPr>
        <w:tabs>
          <w:tab w:val="clear" w:pos="284"/>
        </w:tabs>
        <w:spacing w:line="220" w:lineRule="exact"/>
        <w:rPr>
          <w:noProof/>
          <w:sz w:val="18"/>
        </w:rPr>
      </w:pPr>
      <w:r>
        <w:rPr>
          <w:noProof/>
          <w:sz w:val="18"/>
        </w:rPr>
        <w:t>L’esame ha come prerequisiti la conoscenza delle basi della microeconomia e della macroeconomia.</w:t>
      </w:r>
    </w:p>
    <w:p w14:paraId="7BDED41E" w14:textId="77777777" w:rsidR="00177EFB" w:rsidRDefault="00177EFB" w:rsidP="00302588">
      <w:pPr>
        <w:pStyle w:val="Testo2"/>
      </w:pPr>
    </w:p>
    <w:p w14:paraId="2E7C72D8" w14:textId="77777777" w:rsidR="009B0237" w:rsidRDefault="009B0237" w:rsidP="009B0237">
      <w:pPr>
        <w:pStyle w:val="Testo2"/>
        <w:ind w:firstLine="0"/>
        <w:rPr>
          <w:b/>
          <w:i/>
        </w:rPr>
      </w:pPr>
      <w:r>
        <w:rPr>
          <w:b/>
          <w:i/>
        </w:rPr>
        <w:t>ORARIO E LUOGO DI RICEVIMENTO DEGLI STUDENTI</w:t>
      </w:r>
    </w:p>
    <w:p w14:paraId="774E8A54" w14:textId="77777777" w:rsidR="009B0237" w:rsidRDefault="009B0237" w:rsidP="009B0237">
      <w:pPr>
        <w:pStyle w:val="Testo2"/>
        <w:ind w:firstLine="0"/>
      </w:pPr>
    </w:p>
    <w:p w14:paraId="75429DFF" w14:textId="0B30A94C" w:rsidR="009B0237" w:rsidRPr="003F32D8" w:rsidRDefault="00B86441" w:rsidP="003F32D8">
      <w:pPr>
        <w:pStyle w:val="Testo2"/>
      </w:pPr>
      <w:r>
        <w:t>Il docente riceve al giovedì dalle 14,30 alle 16 per tutto l’anno (tranne il mese di agosto).</w:t>
      </w:r>
    </w:p>
    <w:sectPr w:rsidR="009B0237" w:rsidRPr="003F32D8">
      <w:pgSz w:w="11906" w:h="16838" w:code="9"/>
      <w:pgMar w:top="3515" w:right="2608" w:bottom="3515" w:left="260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91841" w16cex:dateUtc="2020-07-15T17:20:00.51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FACA" w14:textId="77777777" w:rsidR="00B92C01" w:rsidRDefault="00B92C01" w:rsidP="00CD3A0E">
      <w:pPr>
        <w:spacing w:line="240" w:lineRule="auto"/>
      </w:pPr>
      <w:r>
        <w:separator/>
      </w:r>
    </w:p>
  </w:endnote>
  <w:endnote w:type="continuationSeparator" w:id="0">
    <w:p w14:paraId="6B956D34" w14:textId="77777777" w:rsidR="00B92C01" w:rsidRDefault="00B92C01" w:rsidP="00CD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B495" w14:textId="77777777" w:rsidR="00B92C01" w:rsidRDefault="00B92C01" w:rsidP="00CD3A0E">
      <w:pPr>
        <w:spacing w:line="240" w:lineRule="auto"/>
      </w:pPr>
      <w:r>
        <w:separator/>
      </w:r>
    </w:p>
  </w:footnote>
  <w:footnote w:type="continuationSeparator" w:id="0">
    <w:p w14:paraId="70CE6567" w14:textId="77777777" w:rsidR="00B92C01" w:rsidRDefault="00B92C01" w:rsidP="00CD3A0E">
      <w:pPr>
        <w:spacing w:line="240" w:lineRule="auto"/>
      </w:pPr>
      <w:r>
        <w:continuationSeparator/>
      </w:r>
    </w:p>
  </w:footnote>
  <w:footnote w:id="1">
    <w:p w14:paraId="471E991C" w14:textId="7AE3BC74" w:rsidR="00CD3A0E" w:rsidRDefault="00CD3A0E">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DD5"/>
    <w:multiLevelType w:val="hybridMultilevel"/>
    <w:tmpl w:val="09A8D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C7B71"/>
    <w:multiLevelType w:val="hybridMultilevel"/>
    <w:tmpl w:val="CA3A9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3A49AA"/>
    <w:multiLevelType w:val="hybridMultilevel"/>
    <w:tmpl w:val="784A4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B7050"/>
    <w:multiLevelType w:val="hybridMultilevel"/>
    <w:tmpl w:val="0BC03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A63A8"/>
    <w:multiLevelType w:val="hybridMultilevel"/>
    <w:tmpl w:val="E1FAB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753BAA"/>
    <w:multiLevelType w:val="hybridMultilevel"/>
    <w:tmpl w:val="A64C1FD8"/>
    <w:lvl w:ilvl="0" w:tplc="FD22A9DE">
      <w:numFmt w:val="none"/>
      <w:lvlText w:val=""/>
      <w:lvlJc w:val="left"/>
      <w:pPr>
        <w:tabs>
          <w:tab w:val="num" w:pos="360"/>
        </w:tabs>
      </w:pPr>
    </w:lvl>
    <w:lvl w:ilvl="1" w:tplc="327E58EA">
      <w:start w:val="1"/>
      <w:numFmt w:val="lowerLetter"/>
      <w:lvlText w:val="%2."/>
      <w:lvlJc w:val="left"/>
      <w:pPr>
        <w:ind w:left="1440" w:hanging="360"/>
      </w:pPr>
    </w:lvl>
    <w:lvl w:ilvl="2" w:tplc="A4FE392C">
      <w:start w:val="1"/>
      <w:numFmt w:val="lowerRoman"/>
      <w:lvlText w:val="%3."/>
      <w:lvlJc w:val="right"/>
      <w:pPr>
        <w:ind w:left="2160" w:hanging="180"/>
      </w:pPr>
    </w:lvl>
    <w:lvl w:ilvl="3" w:tplc="BE9050BC">
      <w:start w:val="1"/>
      <w:numFmt w:val="decimal"/>
      <w:lvlText w:val="%4."/>
      <w:lvlJc w:val="left"/>
      <w:pPr>
        <w:ind w:left="2880" w:hanging="360"/>
      </w:pPr>
    </w:lvl>
    <w:lvl w:ilvl="4" w:tplc="96C0AF52">
      <w:start w:val="1"/>
      <w:numFmt w:val="lowerLetter"/>
      <w:lvlText w:val="%5."/>
      <w:lvlJc w:val="left"/>
      <w:pPr>
        <w:ind w:left="3600" w:hanging="360"/>
      </w:pPr>
    </w:lvl>
    <w:lvl w:ilvl="5" w:tplc="5464E0CE">
      <w:start w:val="1"/>
      <w:numFmt w:val="lowerRoman"/>
      <w:lvlText w:val="%6."/>
      <w:lvlJc w:val="right"/>
      <w:pPr>
        <w:ind w:left="4320" w:hanging="180"/>
      </w:pPr>
    </w:lvl>
    <w:lvl w:ilvl="6" w:tplc="CE4AA3CC">
      <w:start w:val="1"/>
      <w:numFmt w:val="decimal"/>
      <w:lvlText w:val="%7."/>
      <w:lvlJc w:val="left"/>
      <w:pPr>
        <w:ind w:left="5040" w:hanging="360"/>
      </w:pPr>
    </w:lvl>
    <w:lvl w:ilvl="7" w:tplc="72D02F82">
      <w:start w:val="1"/>
      <w:numFmt w:val="lowerLetter"/>
      <w:lvlText w:val="%8."/>
      <w:lvlJc w:val="left"/>
      <w:pPr>
        <w:ind w:left="5760" w:hanging="360"/>
      </w:pPr>
    </w:lvl>
    <w:lvl w:ilvl="8" w:tplc="0C5EF6A8">
      <w:start w:val="1"/>
      <w:numFmt w:val="lowerRoman"/>
      <w:lvlText w:val="%9."/>
      <w:lvlJc w:val="right"/>
      <w:pPr>
        <w:ind w:left="6480" w:hanging="180"/>
      </w:pPr>
    </w:lvl>
  </w:abstractNum>
  <w:abstractNum w:abstractNumId="7" w15:restartNumberingAfterBreak="0">
    <w:nsid w:val="3CEC5A15"/>
    <w:multiLevelType w:val="hybridMultilevel"/>
    <w:tmpl w:val="2CE4A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1" w15:restartNumberingAfterBreak="0">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49D2EE7"/>
    <w:multiLevelType w:val="multilevel"/>
    <w:tmpl w:val="123A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DA38ED"/>
    <w:multiLevelType w:val="hybridMultilevel"/>
    <w:tmpl w:val="4B9C2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35966"/>
    <w:multiLevelType w:val="multilevel"/>
    <w:tmpl w:val="BCB01C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185723"/>
    <w:multiLevelType w:val="multilevel"/>
    <w:tmpl w:val="1DE8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6E4FD0"/>
    <w:multiLevelType w:val="multilevel"/>
    <w:tmpl w:val="6EFE6AA0"/>
    <w:lvl w:ilvl="0">
      <w:start w:val="1"/>
      <w:numFmt w:val="decimal"/>
      <w:lvlText w:val="%1"/>
      <w:lvlJc w:val="left"/>
      <w:pPr>
        <w:ind w:left="360" w:hanging="360"/>
      </w:pPr>
      <w:rPr>
        <w:rFonts w:hint="default"/>
      </w:rPr>
    </w:lvl>
    <w:lvl w:ilvl="1">
      <w:start w:val="2"/>
      <w:numFmt w:val="decimal"/>
      <w:lvlText w:val="%1.%2"/>
      <w:lvlJc w:val="left"/>
      <w:pPr>
        <w:ind w:left="502"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3"/>
  </w:num>
  <w:num w:numId="4">
    <w:abstractNumId w:val="13"/>
  </w:num>
  <w:num w:numId="5">
    <w:abstractNumId w:val="20"/>
  </w:num>
  <w:num w:numId="6">
    <w:abstractNumId w:val="9"/>
  </w:num>
  <w:num w:numId="7">
    <w:abstractNumId w:val="8"/>
  </w:num>
  <w:num w:numId="8">
    <w:abstractNumId w:val="11"/>
  </w:num>
  <w:num w:numId="9">
    <w:abstractNumId w:val="16"/>
  </w:num>
  <w:num w:numId="10">
    <w:abstractNumId w:val="15"/>
  </w:num>
  <w:num w:numId="11">
    <w:abstractNumId w:val="1"/>
  </w:num>
  <w:num w:numId="12">
    <w:abstractNumId w:val="2"/>
  </w:num>
  <w:num w:numId="13">
    <w:abstractNumId w:val="18"/>
  </w:num>
  <w:num w:numId="14">
    <w:abstractNumId w:val="14"/>
  </w:num>
  <w:num w:numId="15">
    <w:abstractNumId w:val="17"/>
  </w:num>
  <w:num w:numId="16">
    <w:abstractNumId w:val="12"/>
  </w:num>
  <w:num w:numId="17">
    <w:abstractNumId w:val="10"/>
  </w:num>
  <w:num w:numId="18">
    <w:abstractNumId w:val="19"/>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3"/>
    <w:rsid w:val="00020A9D"/>
    <w:rsid w:val="000373ED"/>
    <w:rsid w:val="00050000"/>
    <w:rsid w:val="000717E5"/>
    <w:rsid w:val="00082AFB"/>
    <w:rsid w:val="000B1BD8"/>
    <w:rsid w:val="000C1462"/>
    <w:rsid w:val="00114E56"/>
    <w:rsid w:val="001506B4"/>
    <w:rsid w:val="00177EFB"/>
    <w:rsid w:val="001814C2"/>
    <w:rsid w:val="00243549"/>
    <w:rsid w:val="002457E9"/>
    <w:rsid w:val="0025542A"/>
    <w:rsid w:val="00285585"/>
    <w:rsid w:val="00297EBF"/>
    <w:rsid w:val="002B431B"/>
    <w:rsid w:val="00302588"/>
    <w:rsid w:val="00354221"/>
    <w:rsid w:val="003B7718"/>
    <w:rsid w:val="003F32D8"/>
    <w:rsid w:val="003F7C48"/>
    <w:rsid w:val="0040638D"/>
    <w:rsid w:val="00424EA4"/>
    <w:rsid w:val="00457378"/>
    <w:rsid w:val="00495A17"/>
    <w:rsid w:val="004F60F2"/>
    <w:rsid w:val="00584B78"/>
    <w:rsid w:val="005A5A37"/>
    <w:rsid w:val="005D3673"/>
    <w:rsid w:val="006B1B5F"/>
    <w:rsid w:val="006D200F"/>
    <w:rsid w:val="006E0BFA"/>
    <w:rsid w:val="006F1FDF"/>
    <w:rsid w:val="0075626E"/>
    <w:rsid w:val="0075730E"/>
    <w:rsid w:val="0077634C"/>
    <w:rsid w:val="00796244"/>
    <w:rsid w:val="008009E4"/>
    <w:rsid w:val="00802B48"/>
    <w:rsid w:val="008142F0"/>
    <w:rsid w:val="00881F02"/>
    <w:rsid w:val="008821F9"/>
    <w:rsid w:val="008906EA"/>
    <w:rsid w:val="008B4DD1"/>
    <w:rsid w:val="008E2727"/>
    <w:rsid w:val="00901E3D"/>
    <w:rsid w:val="009044D3"/>
    <w:rsid w:val="00941740"/>
    <w:rsid w:val="0096612E"/>
    <w:rsid w:val="009763D3"/>
    <w:rsid w:val="009B0237"/>
    <w:rsid w:val="00A346A3"/>
    <w:rsid w:val="00A41C4F"/>
    <w:rsid w:val="00A6379F"/>
    <w:rsid w:val="00AA2064"/>
    <w:rsid w:val="00B30572"/>
    <w:rsid w:val="00B83EE6"/>
    <w:rsid w:val="00B86441"/>
    <w:rsid w:val="00B92C01"/>
    <w:rsid w:val="00BB71D4"/>
    <w:rsid w:val="00C27DF5"/>
    <w:rsid w:val="00C77F37"/>
    <w:rsid w:val="00CB2ED5"/>
    <w:rsid w:val="00CD3A0E"/>
    <w:rsid w:val="00CE750C"/>
    <w:rsid w:val="00D23255"/>
    <w:rsid w:val="00D52AF0"/>
    <w:rsid w:val="00D54AA9"/>
    <w:rsid w:val="00DC73B0"/>
    <w:rsid w:val="00E25243"/>
    <w:rsid w:val="00E34769"/>
    <w:rsid w:val="00E51D6C"/>
    <w:rsid w:val="00E716F5"/>
    <w:rsid w:val="00E728BC"/>
    <w:rsid w:val="00ED1D75"/>
    <w:rsid w:val="00ED37C7"/>
    <w:rsid w:val="00EF754E"/>
    <w:rsid w:val="00F1798A"/>
    <w:rsid w:val="00F340E6"/>
    <w:rsid w:val="00F34266"/>
    <w:rsid w:val="00F51D61"/>
    <w:rsid w:val="00F7769D"/>
    <w:rsid w:val="00F8630D"/>
    <w:rsid w:val="00F87146"/>
    <w:rsid w:val="00F94EDC"/>
    <w:rsid w:val="00FC721B"/>
    <w:rsid w:val="0AD41B81"/>
    <w:rsid w:val="22FEA9D1"/>
    <w:rsid w:val="556F5354"/>
    <w:rsid w:val="5907128C"/>
    <w:rsid w:val="7145481A"/>
    <w:rsid w:val="71BEF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15:docId w15:val="{8F0307C0-CAE5-C74C-9FD5-9C716F0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it-IT" w:eastAsia="it-IT" w:bidi="ar-SA"/>
    </w:rPr>
  </w:style>
  <w:style w:type="character" w:customStyle="1" w:styleId="Testo2Carattere">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 w:type="character" w:styleId="Rimandocommento">
    <w:name w:val="annotation reference"/>
    <w:basedOn w:val="Carpredefinitoparagrafo"/>
    <w:semiHidden/>
    <w:unhideWhenUsed/>
    <w:rsid w:val="00DC73B0"/>
    <w:rPr>
      <w:sz w:val="16"/>
      <w:szCs w:val="16"/>
    </w:rPr>
  </w:style>
  <w:style w:type="paragraph" w:styleId="Testocommento">
    <w:name w:val="annotation text"/>
    <w:basedOn w:val="Normale"/>
    <w:link w:val="TestocommentoCarattere"/>
    <w:semiHidden/>
    <w:unhideWhenUsed/>
    <w:rsid w:val="00DC73B0"/>
    <w:pPr>
      <w:spacing w:line="240" w:lineRule="auto"/>
    </w:pPr>
  </w:style>
  <w:style w:type="character" w:customStyle="1" w:styleId="TestocommentoCarattere">
    <w:name w:val="Testo commento Carattere"/>
    <w:basedOn w:val="Carpredefinitoparagrafo"/>
    <w:link w:val="Testocommento"/>
    <w:semiHidden/>
    <w:rsid w:val="00DC73B0"/>
    <w:rPr>
      <w:rFonts w:ascii="Times" w:hAnsi="Times"/>
    </w:rPr>
  </w:style>
  <w:style w:type="paragraph" w:styleId="Soggettocommento">
    <w:name w:val="annotation subject"/>
    <w:basedOn w:val="Testocommento"/>
    <w:next w:val="Testocommento"/>
    <w:link w:val="SoggettocommentoCarattere"/>
    <w:semiHidden/>
    <w:unhideWhenUsed/>
    <w:rsid w:val="00DC73B0"/>
    <w:rPr>
      <w:b/>
      <w:bCs/>
    </w:rPr>
  </w:style>
  <w:style w:type="character" w:customStyle="1" w:styleId="SoggettocommentoCarattere">
    <w:name w:val="Soggetto commento Carattere"/>
    <w:basedOn w:val="TestocommentoCarattere"/>
    <w:link w:val="Soggettocommento"/>
    <w:semiHidden/>
    <w:rsid w:val="00DC73B0"/>
    <w:rPr>
      <w:rFonts w:ascii="Times" w:hAnsi="Times"/>
      <w:b/>
      <w:bCs/>
    </w:rPr>
  </w:style>
  <w:style w:type="character" w:customStyle="1" w:styleId="Menzionenonrisolta1">
    <w:name w:val="Menzione non risolta1"/>
    <w:basedOn w:val="Carpredefinitoparagrafo"/>
    <w:uiPriority w:val="99"/>
    <w:semiHidden/>
    <w:unhideWhenUsed/>
    <w:rsid w:val="003F7C48"/>
    <w:rPr>
      <w:color w:val="605E5C"/>
      <w:shd w:val="clear" w:color="auto" w:fill="E1DFDD"/>
    </w:rPr>
  </w:style>
  <w:style w:type="paragraph" w:styleId="Testonotaapidipagina">
    <w:name w:val="footnote text"/>
    <w:basedOn w:val="Normale"/>
    <w:link w:val="TestonotaapidipaginaCarattere"/>
    <w:semiHidden/>
    <w:unhideWhenUsed/>
    <w:rsid w:val="00CD3A0E"/>
    <w:pPr>
      <w:spacing w:line="240" w:lineRule="auto"/>
    </w:pPr>
  </w:style>
  <w:style w:type="character" w:customStyle="1" w:styleId="TestonotaapidipaginaCarattere">
    <w:name w:val="Testo nota a piè di pagina Carattere"/>
    <w:basedOn w:val="Carpredefinitoparagrafo"/>
    <w:link w:val="Testonotaapidipagina"/>
    <w:semiHidden/>
    <w:rsid w:val="00CD3A0E"/>
    <w:rPr>
      <w:rFonts w:ascii="Times" w:hAnsi="Times"/>
    </w:rPr>
  </w:style>
  <w:style w:type="character" w:styleId="Rimandonotaapidipagina">
    <w:name w:val="footnote reference"/>
    <w:basedOn w:val="Carpredefinitoparagrafo"/>
    <w:semiHidden/>
    <w:unhideWhenUsed/>
    <w:rsid w:val="00CD3A0E"/>
    <w:rPr>
      <w:vertAlign w:val="superscript"/>
    </w:rPr>
  </w:style>
  <w:style w:type="character" w:customStyle="1" w:styleId="UnresolvedMention">
    <w:name w:val="Unresolved Mention"/>
    <w:basedOn w:val="Carpredefinitoparagrafo"/>
    <w:uiPriority w:val="99"/>
    <w:semiHidden/>
    <w:unhideWhenUsed/>
    <w:rsid w:val="0088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391">
      <w:bodyDiv w:val="1"/>
      <w:marLeft w:val="0"/>
      <w:marRight w:val="0"/>
      <w:marTop w:val="0"/>
      <w:marBottom w:val="0"/>
      <w:divBdr>
        <w:top w:val="none" w:sz="0" w:space="0" w:color="auto"/>
        <w:left w:val="none" w:sz="0" w:space="0" w:color="auto"/>
        <w:bottom w:val="none" w:sz="0" w:space="0" w:color="auto"/>
        <w:right w:val="none" w:sz="0" w:space="0" w:color="auto"/>
      </w:divBdr>
    </w:div>
    <w:div w:id="463426248">
      <w:bodyDiv w:val="1"/>
      <w:marLeft w:val="0"/>
      <w:marRight w:val="0"/>
      <w:marTop w:val="0"/>
      <w:marBottom w:val="0"/>
      <w:divBdr>
        <w:top w:val="none" w:sz="0" w:space="0" w:color="auto"/>
        <w:left w:val="none" w:sz="0" w:space="0" w:color="auto"/>
        <w:bottom w:val="none" w:sz="0" w:space="0" w:color="auto"/>
        <w:right w:val="none" w:sz="0" w:space="0" w:color="auto"/>
      </w:divBdr>
    </w:div>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 w:id="1836798848">
      <w:bodyDiv w:val="1"/>
      <w:marLeft w:val="0"/>
      <w:marRight w:val="0"/>
      <w:marTop w:val="0"/>
      <w:marBottom w:val="0"/>
      <w:divBdr>
        <w:top w:val="none" w:sz="0" w:space="0" w:color="auto"/>
        <w:left w:val="none" w:sz="0" w:space="0" w:color="auto"/>
        <w:bottom w:val="none" w:sz="0" w:space="0" w:color="auto"/>
        <w:right w:val="none" w:sz="0" w:space="0" w:color="auto"/>
      </w:divBdr>
    </w:div>
    <w:div w:id="20779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978-3-031-10302-5_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ecolecon.2019.1063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uigi-campiglio/mercato-prezzi-e-politica-economica-9788815060181-20820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esr.2022.100934" TargetMode="External"/><Relationship Id="Re778cfc52b2c441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0697-8945-4BD7-8C0A-BC9BCE70C8CF}">
  <ds:schemaRefs>
    <ds:schemaRef ds:uri="http://schemas.microsoft.com/sharepoint/v3/contenttype/forms"/>
  </ds:schemaRefs>
</ds:datastoreItem>
</file>

<file path=customXml/itemProps2.xml><?xml version="1.0" encoding="utf-8"?>
<ds:datastoreItem xmlns:ds="http://schemas.openxmlformats.org/officeDocument/2006/customXml" ds:itemID="{CE763B04-96C8-4194-B244-4DD7CC73FF40}">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69cdee98-039f-42ef-84e8-bcafbefa6ce6"/>
    <ds:schemaRef ds:uri="http://schemas.microsoft.com/office/infopath/2007/PartnerControls"/>
    <ds:schemaRef ds:uri="189edbf7-6629-4be8-98e2-0a629d83435f"/>
    <ds:schemaRef ds:uri="http://schemas.microsoft.com/office/2006/metadata/properties"/>
  </ds:schemaRefs>
</ds:datastoreItem>
</file>

<file path=customXml/itemProps3.xml><?xml version="1.0" encoding="utf-8"?>
<ds:datastoreItem xmlns:ds="http://schemas.openxmlformats.org/officeDocument/2006/customXml" ds:itemID="{3F8DAB42-4229-4F2C-8FC6-5A0BD9C3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FC88A-5CE2-457D-861B-5DF9EAE8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5</Pages>
  <Words>1586</Words>
  <Characters>9043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33</vt:lpstr>
    </vt:vector>
  </TitlesOfParts>
  <Company>U.C.S.C. MILANO</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Direzione</dc:creator>
  <cp:lastModifiedBy>Piccolini Luisella</cp:lastModifiedBy>
  <cp:revision>3</cp:revision>
  <cp:lastPrinted>2010-05-10T14:05:00Z</cp:lastPrinted>
  <dcterms:created xsi:type="dcterms:W3CDTF">2023-05-14T16:14:00Z</dcterms:created>
  <dcterms:modified xsi:type="dcterms:W3CDTF">2023-06-21T08:27:00Z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