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1E26" w14:textId="520B58FD" w:rsidR="00CE344B" w:rsidRPr="00E0685E" w:rsidRDefault="00CE344B" w:rsidP="00CE344B">
      <w:pPr>
        <w:pStyle w:val="Titolo1"/>
      </w:pPr>
      <w:r w:rsidRPr="00E0685E">
        <w:t>Istituzioni di Diritto Commerciale e Tributario</w:t>
      </w:r>
    </w:p>
    <w:p w14:paraId="20F777F1" w14:textId="36FBF573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Proff. Chiara Presciani-</w:t>
      </w:r>
      <w:r w:rsidR="00BF369C">
        <w:rPr>
          <w:sz w:val="20"/>
        </w:rPr>
        <w:t>Paolo Arginelli</w:t>
      </w:r>
    </w:p>
    <w:p w14:paraId="50C10DC0" w14:textId="1FD1DABF" w:rsidR="00CE344B" w:rsidRPr="00E0685E" w:rsidRDefault="00CE344B" w:rsidP="00CE344B">
      <w:pPr>
        <w:pStyle w:val="Titolo1"/>
        <w:spacing w:before="120"/>
      </w:pPr>
      <w:r w:rsidRPr="00E0685E">
        <w:t xml:space="preserve">Modulo </w:t>
      </w:r>
      <w:r w:rsidR="004223BC">
        <w:t xml:space="preserve">I - </w:t>
      </w:r>
      <w:r w:rsidRPr="00E0685E">
        <w:t>Diritto Commerciale</w:t>
      </w:r>
    </w:p>
    <w:p w14:paraId="1939573E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Prof.ssa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65DEF361" w:rsidR="00CE344B" w:rsidRPr="00E0685E" w:rsidRDefault="00CE344B" w:rsidP="00CE344B">
      <w:r>
        <w:tab/>
      </w:r>
      <w:r w:rsidRPr="00E0685E">
        <w:t>Il corso si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="00A10430">
        <w:t>, nonché alle operazioni straordinarie</w:t>
      </w:r>
      <w:r w:rsidRPr="00E0685E">
        <w:t>.</w:t>
      </w:r>
    </w:p>
    <w:p w14:paraId="7E994AE5" w14:textId="7CBBD074" w:rsidR="00CE344B" w:rsidRPr="00E0685E" w:rsidRDefault="00CE344B" w:rsidP="00CE344B">
      <w:r>
        <w:tab/>
      </w:r>
      <w:r w:rsidRPr="00A44D98">
        <w:t xml:space="preserve">Al termine del modulo 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 xml:space="preserve">(sia di persone che di capitali) </w:t>
      </w:r>
      <w:r w:rsidRPr="00E0685E">
        <w:t>e al relativo funzionamento.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4AF3288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nozione di impresa ex art. 2082 c.c. </w:t>
      </w:r>
    </w:p>
    <w:p w14:paraId="6D67BC14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Tipi di impresa</w:t>
      </w:r>
    </w:p>
    <w:p w14:paraId="3FA74C1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agricolo</w:t>
      </w:r>
    </w:p>
    <w:p w14:paraId="101E0B4F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commerciale.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societaria.</w:t>
      </w:r>
    </w:p>
    <w:p w14:paraId="0A993EE6" w14:textId="24AB0B73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</w:t>
      </w:r>
      <w:r w:rsidR="00A10430">
        <w:t xml:space="preserve"> (s.n.c., s.a.s., s.s.)</w:t>
      </w:r>
      <w:r w:rsidRPr="00E0685E">
        <w:t>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per azioni </w:t>
      </w:r>
    </w:p>
    <w:p w14:paraId="2766FADB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a responsabilità limita</w:t>
      </w:r>
    </w:p>
    <w:p w14:paraId="34B25BA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a responsabilità limitata </w:t>
      </w:r>
    </w:p>
    <w:p w14:paraId="3973FDE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s.r.l. semplificate e a capitale marginale</w:t>
      </w:r>
    </w:p>
    <w:p w14:paraId="31E12D2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I gruppi di società</w:t>
      </w:r>
    </w:p>
    <w:p w14:paraId="3F8624EC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operazioni straordinarie (trasformazione, fusione e scissione).</w:t>
      </w:r>
    </w:p>
    <w:p w14:paraId="1843588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</w:t>
      </w:r>
      <w:r w:rsidRPr="00E0685E">
        <w:tab/>
        <w:t>Lo scioglimento ed estinzione delle società.</w:t>
      </w:r>
    </w:p>
    <w:p w14:paraId="6AA861B3" w14:textId="77777777" w:rsidR="00CE344B" w:rsidRPr="00E0685E" w:rsidRDefault="00CE344B" w:rsidP="00CE344B">
      <w:pPr>
        <w:tabs>
          <w:tab w:val="clear" w:pos="284"/>
          <w:tab w:val="left" w:pos="142"/>
        </w:tabs>
      </w:pPr>
    </w:p>
    <w:p w14:paraId="58B8F960" w14:textId="77777777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lastRenderedPageBreak/>
        <w:t>BIBLIOGRAFIA</w:t>
      </w:r>
    </w:p>
    <w:p w14:paraId="4B43C08D" w14:textId="3F377DE0" w:rsidR="00CE344B" w:rsidRPr="00E0685E" w:rsidRDefault="00CE344B" w:rsidP="00CE344B">
      <w:pPr>
        <w:pStyle w:val="Testo1"/>
        <w:rPr>
          <w:spacing w:val="-5"/>
          <w:sz w:val="20"/>
        </w:rPr>
      </w:pPr>
      <w:r w:rsidRPr="00E0685E">
        <w:rPr>
          <w:smallCaps/>
          <w:spacing w:val="-5"/>
          <w:sz w:val="20"/>
        </w:rPr>
        <w:t xml:space="preserve">M. Cian, </w:t>
      </w:r>
      <w:r w:rsidRPr="00E0685E">
        <w:rPr>
          <w:spacing w:val="-5"/>
          <w:sz w:val="20"/>
        </w:rPr>
        <w:t>Manuale di diritto commerciale, Giappichelli, ultima edizione.</w:t>
      </w:r>
      <w:r w:rsidR="00844BE5">
        <w:rPr>
          <w:spacing w:val="-5"/>
          <w:sz w:val="20"/>
        </w:rPr>
        <w:t xml:space="preserve"> (Obbligatorio)</w:t>
      </w:r>
    </w:p>
    <w:p w14:paraId="013EB18D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M</w:t>
      </w:r>
      <w:r>
        <w:rPr>
          <w:b/>
          <w:i/>
        </w:rPr>
        <w:t xml:space="preserve">ETODO E CRITERI DI VALUTAZIONE </w:t>
      </w:r>
    </w:p>
    <w:p w14:paraId="29DFA4A1" w14:textId="3660B384" w:rsidR="00CE344B" w:rsidRDefault="00CE344B" w:rsidP="004223BC">
      <w:pPr>
        <w:pStyle w:val="Testo2"/>
        <w:rPr>
          <w:sz w:val="20"/>
        </w:rPr>
      </w:pPr>
      <w:r w:rsidRPr="00E0685E">
        <w:rPr>
          <w:sz w:val="20"/>
        </w:rPr>
        <w:t>L’esame si</w:t>
      </w:r>
      <w:r w:rsidR="004223BC">
        <w:rPr>
          <w:sz w:val="20"/>
        </w:rPr>
        <w:t xml:space="preserve"> compone di una prova scritta a crocette e di un esame orale. La prova scritta a crocette rappresenta 1/3 della valutazione, mentre la prova orale i restanti 2/3. Sia nella prova scritta che in quella orale verranno poste</w:t>
      </w:r>
      <w:r w:rsidRPr="00E0685E">
        <w:rPr>
          <w:sz w:val="20"/>
        </w:rPr>
        <w:t xml:space="preserve"> domande sul</w:t>
      </w:r>
      <w:r w:rsidR="00A10430">
        <w:rPr>
          <w:sz w:val="20"/>
        </w:rPr>
        <w:t>l’intero</w:t>
      </w:r>
      <w:r w:rsidRPr="00E0685E">
        <w:rPr>
          <w:sz w:val="20"/>
        </w:rPr>
        <w:t xml:space="preserve"> programma al fine di valutare la preparazione e le conoscenze dello studente.</w:t>
      </w:r>
    </w:p>
    <w:p w14:paraId="03BB6B1D" w14:textId="02D96EA9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</w:t>
      </w:r>
      <w:r w:rsidR="004223BC">
        <w:rPr>
          <w:sz w:val="20"/>
        </w:rPr>
        <w:t>e</w:t>
      </w:r>
      <w:r w:rsidRPr="00035626">
        <w:rPr>
          <w:sz w:val="20"/>
        </w:rPr>
        <w:t xml:space="preserve"> risposta </w:t>
      </w:r>
      <w:r w:rsidR="004223BC">
        <w:rPr>
          <w:sz w:val="20"/>
        </w:rPr>
        <w:t xml:space="preserve">fornite in sede di esame orale </w:t>
      </w:r>
      <w:r>
        <w:rPr>
          <w:sz w:val="20"/>
        </w:rPr>
        <w:t xml:space="preserve">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</w:t>
      </w:r>
      <w:proofErr w:type="gramStart"/>
      <w:r w:rsidRPr="00E0685E">
        <w:t>codice civile</w:t>
      </w:r>
      <w:proofErr w:type="gramEnd"/>
      <w:r w:rsidRPr="00E0685E">
        <w:t xml:space="preserve">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4BEBE5D9" w14:textId="77777777" w:rsidR="00CE344B" w:rsidRPr="00E0685E" w:rsidRDefault="00CE344B" w:rsidP="00CE344B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http://docenti.unicatt.it/</w:t>
      </w:r>
    </w:p>
    <w:p w14:paraId="33DD92BF" w14:textId="77777777" w:rsidR="00CE344B" w:rsidRDefault="00CE344B" w:rsidP="00CE344B">
      <w:pPr>
        <w:pStyle w:val="Testo2"/>
        <w:spacing w:before="120"/>
        <w:rPr>
          <w:sz w:val="18"/>
          <w:szCs w:val="18"/>
        </w:rPr>
      </w:pPr>
    </w:p>
    <w:p w14:paraId="51C5D822" w14:textId="77777777" w:rsidR="00526143" w:rsidRPr="00526143" w:rsidRDefault="00526143" w:rsidP="00526143">
      <w:pPr>
        <w:tabs>
          <w:tab w:val="clear" w:pos="284"/>
          <w:tab w:val="left" w:pos="708"/>
        </w:tabs>
        <w:spacing w:before="240" w:line="288" w:lineRule="auto"/>
        <w:jc w:val="left"/>
        <w:outlineLvl w:val="2"/>
        <w:rPr>
          <w:b/>
          <w:noProof/>
        </w:rPr>
      </w:pPr>
      <w:r w:rsidRPr="00526143">
        <w:rPr>
          <w:b/>
          <w:noProof/>
        </w:rPr>
        <w:t>Modulo II  - Diritto Tributario</w:t>
      </w:r>
    </w:p>
    <w:p w14:paraId="2E016459" w14:textId="77777777" w:rsidR="00526143" w:rsidRPr="00526143" w:rsidRDefault="00526143" w:rsidP="00526143">
      <w:pPr>
        <w:tabs>
          <w:tab w:val="clear" w:pos="284"/>
          <w:tab w:val="left" w:pos="708"/>
        </w:tabs>
        <w:spacing w:line="288" w:lineRule="auto"/>
        <w:jc w:val="left"/>
        <w:outlineLvl w:val="1"/>
        <w:rPr>
          <w:smallCaps/>
          <w:noProof/>
          <w:sz w:val="18"/>
        </w:rPr>
      </w:pPr>
      <w:r w:rsidRPr="00526143">
        <w:rPr>
          <w:smallCaps/>
          <w:noProof/>
          <w:sz w:val="18"/>
        </w:rPr>
        <w:t>Prof. Paolo Arginelli</w:t>
      </w:r>
    </w:p>
    <w:p w14:paraId="2BDEE9EE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t>OBIETTIVI DEL CORSO E RISULTATI DI APPRENDIMENTO ATTESI</w:t>
      </w:r>
    </w:p>
    <w:p w14:paraId="21C10F27" w14:textId="77777777" w:rsidR="008127E0" w:rsidRPr="008127E0" w:rsidRDefault="008127E0" w:rsidP="008127E0">
      <w:pPr>
        <w:spacing w:line="288" w:lineRule="auto"/>
      </w:pPr>
      <w:r w:rsidRPr="008127E0">
        <w:t>Il corso si propone di fornire allo studente i principi fondamentali del diritto tributario italiano e le nozioni di base relative all’Imposta sul reddito delle persone fisiche (Irpef) ed all’Imposta su reddito delle società (Ires).</w:t>
      </w:r>
    </w:p>
    <w:p w14:paraId="066F0DC8" w14:textId="77777777" w:rsidR="008127E0" w:rsidRPr="008127E0" w:rsidRDefault="008127E0" w:rsidP="008127E0">
      <w:pPr>
        <w:spacing w:line="288" w:lineRule="auto"/>
      </w:pPr>
      <w:r w:rsidRPr="008127E0">
        <w:t>Al termine dell’insegnamento, lo studente sarà in grado di:</w:t>
      </w:r>
    </w:p>
    <w:p w14:paraId="6D70777D" w14:textId="77777777" w:rsidR="008127E0" w:rsidRPr="008127E0" w:rsidRDefault="008127E0" w:rsidP="008127E0">
      <w:pPr>
        <w:numPr>
          <w:ilvl w:val="0"/>
          <w:numId w:val="4"/>
        </w:numPr>
        <w:tabs>
          <w:tab w:val="num" w:pos="142"/>
        </w:tabs>
        <w:spacing w:line="288" w:lineRule="auto"/>
        <w:ind w:left="142" w:hanging="142"/>
      </w:pPr>
      <w:r w:rsidRPr="008127E0">
        <w:lastRenderedPageBreak/>
        <w:t xml:space="preserve">applicare i principi fondamentali del diritto tributario; </w:t>
      </w:r>
    </w:p>
    <w:p w14:paraId="0EA4DB58" w14:textId="77777777" w:rsidR="008127E0" w:rsidRPr="008127E0" w:rsidRDefault="008127E0" w:rsidP="008127E0">
      <w:pPr>
        <w:numPr>
          <w:ilvl w:val="0"/>
          <w:numId w:val="4"/>
        </w:numPr>
        <w:tabs>
          <w:tab w:val="num" w:pos="142"/>
        </w:tabs>
        <w:spacing w:line="288" w:lineRule="auto"/>
        <w:ind w:left="142" w:hanging="142"/>
      </w:pPr>
      <w:r w:rsidRPr="008127E0">
        <w:t>distinguere i contribuenti residenti e non residenti;</w:t>
      </w:r>
    </w:p>
    <w:p w14:paraId="657F65DB" w14:textId="77777777" w:rsidR="008127E0" w:rsidRPr="008127E0" w:rsidRDefault="008127E0" w:rsidP="008127E0">
      <w:pPr>
        <w:numPr>
          <w:ilvl w:val="0"/>
          <w:numId w:val="4"/>
        </w:numPr>
        <w:tabs>
          <w:tab w:val="num" w:pos="142"/>
        </w:tabs>
        <w:spacing w:line="288" w:lineRule="auto"/>
        <w:ind w:left="142" w:hanging="142"/>
      </w:pPr>
      <w:r w:rsidRPr="008127E0">
        <w:t>qualificare i redditi percepiti da persone fisiche e società ai fini delle imposte sui redditi;</w:t>
      </w:r>
    </w:p>
    <w:p w14:paraId="637366D0" w14:textId="77777777" w:rsidR="008127E0" w:rsidRPr="008127E0" w:rsidRDefault="008127E0" w:rsidP="008127E0">
      <w:pPr>
        <w:numPr>
          <w:ilvl w:val="0"/>
          <w:numId w:val="4"/>
        </w:numPr>
        <w:tabs>
          <w:tab w:val="num" w:pos="142"/>
        </w:tabs>
        <w:spacing w:line="288" w:lineRule="auto"/>
        <w:ind w:left="142" w:hanging="142"/>
      </w:pPr>
      <w:r w:rsidRPr="008127E0">
        <w:t xml:space="preserve">calcolare i redditi imponibili e determinare la base imponibile e l’imposta (Irpef); </w:t>
      </w:r>
    </w:p>
    <w:p w14:paraId="5D3C14C0" w14:textId="77777777" w:rsidR="008127E0" w:rsidRPr="008127E0" w:rsidRDefault="008127E0" w:rsidP="008127E0">
      <w:pPr>
        <w:numPr>
          <w:ilvl w:val="0"/>
          <w:numId w:val="4"/>
        </w:numPr>
        <w:tabs>
          <w:tab w:val="num" w:pos="142"/>
        </w:tabs>
        <w:spacing w:line="288" w:lineRule="auto"/>
        <w:ind w:left="142" w:hanging="142"/>
      </w:pPr>
      <w:r w:rsidRPr="008127E0">
        <w:t xml:space="preserve">applicare i principi di base concernenti la determinazione del reddito imponibile ai fini dell’Ires. </w:t>
      </w:r>
    </w:p>
    <w:p w14:paraId="64F4E5C3" w14:textId="77777777" w:rsidR="008127E0" w:rsidRPr="008127E0" w:rsidRDefault="008127E0" w:rsidP="008127E0">
      <w:pPr>
        <w:spacing w:line="288" w:lineRule="auto"/>
        <w:ind w:left="142"/>
      </w:pPr>
    </w:p>
    <w:p w14:paraId="221F45C7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t>PROGRAMMA DEL CORSO</w:t>
      </w:r>
    </w:p>
    <w:p w14:paraId="24C4B843" w14:textId="77777777" w:rsidR="008127E0" w:rsidRPr="008127E0" w:rsidRDefault="008127E0" w:rsidP="008127E0">
      <w:pPr>
        <w:tabs>
          <w:tab w:val="left" w:pos="0"/>
        </w:tabs>
        <w:spacing w:line="288" w:lineRule="auto"/>
        <w:rPr>
          <w:smallCaps/>
        </w:rPr>
      </w:pPr>
      <w:r w:rsidRPr="008127E0">
        <w:rPr>
          <w:smallCaps/>
        </w:rPr>
        <w:t>Introduzione al diritto tributario</w:t>
      </w:r>
    </w:p>
    <w:p w14:paraId="29DDBB6E" w14:textId="77777777" w:rsidR="008127E0" w:rsidRPr="008127E0" w:rsidRDefault="008127E0" w:rsidP="008127E0">
      <w:pPr>
        <w:spacing w:line="288" w:lineRule="auto"/>
      </w:pPr>
      <w:r w:rsidRPr="008127E0">
        <w:t>I tributi prelevati in Italia. Principi costituzionali: la riserva di legge di cui all’art. 23 della Costituzione e il principio di capacità contributiva di cui all’art. 53 della Costituzione. L’amministrazione finanziaria. Lo Statuto dei diritti del contribuente</w:t>
      </w:r>
    </w:p>
    <w:p w14:paraId="3A6C43AD" w14:textId="77777777" w:rsidR="008127E0" w:rsidRPr="008127E0" w:rsidRDefault="008127E0" w:rsidP="008127E0">
      <w:pPr>
        <w:spacing w:line="288" w:lineRule="auto"/>
        <w:rPr>
          <w:smallCaps/>
        </w:rPr>
      </w:pPr>
      <w:r w:rsidRPr="008127E0">
        <w:rPr>
          <w:smallCaps/>
        </w:rPr>
        <w:t>L’imposta sul reddito delle persone fisiche (Irpef)</w:t>
      </w:r>
    </w:p>
    <w:p w14:paraId="666D2015" w14:textId="77777777" w:rsidR="008127E0" w:rsidRPr="008127E0" w:rsidRDefault="008127E0" w:rsidP="008127E0">
      <w:pPr>
        <w:spacing w:line="288" w:lineRule="auto"/>
      </w:pPr>
      <w:r w:rsidRPr="008127E0">
        <w:t>Aliquota e soggetti passivi. La nozione di residenza ai fini fiscali. Categorie di redditi. Le modalità di determinazione della base imponibile dei soggetti residenti e dei soggetti non residenti. Redditi fondiari (redditi dei terreni e dei fabbricati). Redditi di capitale. Redditi di lavoro dipendente. Redditi di lavoro autonomo. Redditi d’impresa. Redditi diversi.</w:t>
      </w:r>
    </w:p>
    <w:p w14:paraId="0374B67A" w14:textId="77777777" w:rsidR="008127E0" w:rsidRPr="008127E0" w:rsidRDefault="008127E0" w:rsidP="008127E0">
      <w:pPr>
        <w:spacing w:line="288" w:lineRule="auto"/>
        <w:rPr>
          <w:smallCaps/>
        </w:rPr>
      </w:pPr>
      <w:r w:rsidRPr="008127E0">
        <w:rPr>
          <w:smallCaps/>
        </w:rPr>
        <w:t>L’imposta sul reddito delle società (Ires)</w:t>
      </w:r>
    </w:p>
    <w:p w14:paraId="2F890890" w14:textId="77777777" w:rsidR="008127E0" w:rsidRPr="008127E0" w:rsidRDefault="008127E0" w:rsidP="008127E0">
      <w:pPr>
        <w:spacing w:line="288" w:lineRule="auto"/>
      </w:pPr>
      <w:r w:rsidRPr="008127E0">
        <w:t xml:space="preserve">Aliquota e soggetti passivi. La nozione di residenza ai fini fiscali. La tassazione delle imprese residenti e non residenti. Norme generali sui componenti dei redditi di impresa. La tassazione dei dividendi. La </w:t>
      </w:r>
      <w:proofErr w:type="spellStart"/>
      <w:r w:rsidRPr="008127E0">
        <w:rPr>
          <w:i/>
        </w:rPr>
        <w:t>participation</w:t>
      </w:r>
      <w:proofErr w:type="spellEnd"/>
      <w:r w:rsidRPr="008127E0">
        <w:rPr>
          <w:i/>
        </w:rPr>
        <w:t xml:space="preserve"> </w:t>
      </w:r>
      <w:proofErr w:type="spellStart"/>
      <w:r w:rsidRPr="008127E0">
        <w:rPr>
          <w:i/>
        </w:rPr>
        <w:t>exemption</w:t>
      </w:r>
      <w:proofErr w:type="spellEnd"/>
      <w:r w:rsidRPr="008127E0">
        <w:t>. La deducibilità degli interessi passivi.</w:t>
      </w:r>
    </w:p>
    <w:p w14:paraId="371A5687" w14:textId="77777777" w:rsidR="008127E0" w:rsidRPr="008127E0" w:rsidRDefault="008127E0" w:rsidP="008127E0">
      <w:pPr>
        <w:spacing w:line="288" w:lineRule="auto"/>
      </w:pPr>
    </w:p>
    <w:p w14:paraId="08764732" w14:textId="77777777" w:rsidR="008127E0" w:rsidRPr="008127E0" w:rsidRDefault="008127E0" w:rsidP="008127E0">
      <w:pPr>
        <w:spacing w:line="288" w:lineRule="auto"/>
      </w:pPr>
    </w:p>
    <w:p w14:paraId="3C960DF3" w14:textId="77777777" w:rsidR="008127E0" w:rsidRPr="008127E0" w:rsidRDefault="008127E0" w:rsidP="008127E0">
      <w:pPr>
        <w:spacing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t>BIBLIOGRAFIA</w:t>
      </w:r>
    </w:p>
    <w:p w14:paraId="63A1F360" w14:textId="77777777" w:rsidR="008127E0" w:rsidRPr="008127E0" w:rsidRDefault="008127E0" w:rsidP="008127E0">
      <w:pPr>
        <w:spacing w:line="288" w:lineRule="auto"/>
      </w:pPr>
      <w:r w:rsidRPr="008127E0">
        <w:t xml:space="preserve">Il materiale didattico, comprensivo di lucidi, sentenze, documenti di prassi e dottrina, è messo a disposizione degli studenti su </w:t>
      </w:r>
      <w:proofErr w:type="spellStart"/>
      <w:r w:rsidRPr="008127E0">
        <w:t>Blackboard</w:t>
      </w:r>
      <w:proofErr w:type="spellEnd"/>
      <w:r w:rsidRPr="008127E0">
        <w:t>.</w:t>
      </w:r>
    </w:p>
    <w:p w14:paraId="57028A62" w14:textId="77777777" w:rsidR="008127E0" w:rsidRPr="008127E0" w:rsidRDefault="008127E0" w:rsidP="008127E0">
      <w:pPr>
        <w:spacing w:line="288" w:lineRule="auto"/>
      </w:pPr>
      <w:r w:rsidRPr="008127E0">
        <w:t>Per integrare il suddetto materiale, in particolare per i non frequentanti, si consiglia lo studio del seguente manuale: A. CONTRINO et al. (a cura di), Fondamenti di diritto tributario, Cedam, 2022: pp. 1-169; 174-181; 187-189</w:t>
      </w:r>
      <w:r w:rsidRPr="008127E0">
        <w:rPr>
          <w:i/>
          <w:iCs/>
        </w:rPr>
        <w:t>.</w:t>
      </w:r>
      <w:r w:rsidRPr="008127E0">
        <w:t> </w:t>
      </w:r>
    </w:p>
    <w:p w14:paraId="1783A9A5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lastRenderedPageBreak/>
        <w:t>DIDATTICA DEL CORSO</w:t>
      </w:r>
    </w:p>
    <w:p w14:paraId="310FE2D4" w14:textId="77777777" w:rsidR="008127E0" w:rsidRPr="008127E0" w:rsidRDefault="008127E0" w:rsidP="008127E0">
      <w:pPr>
        <w:tabs>
          <w:tab w:val="clear" w:pos="284"/>
          <w:tab w:val="left" w:pos="708"/>
        </w:tabs>
        <w:spacing w:line="220" w:lineRule="exact"/>
        <w:rPr>
          <w:rFonts w:eastAsia="Calibri" w:cs="Times"/>
          <w:noProof/>
          <w:szCs w:val="22"/>
          <w:lang w:eastAsia="en-US"/>
        </w:rPr>
      </w:pPr>
      <w:r w:rsidRPr="008127E0">
        <w:rPr>
          <w:rFonts w:eastAsia="Calibri" w:cs="Times"/>
          <w:noProof/>
          <w:szCs w:val="22"/>
          <w:lang w:eastAsia="en-US"/>
        </w:rPr>
        <w:t>Il programma verrà illustrato nel corso delle lezioni in aula (anche trasmesse su blackboard). Nel corso delle lezioni verranno utilizzati lucidi e verrà di volta in volta commentato il materiale integrativo reso disponibile dal docente.</w:t>
      </w:r>
    </w:p>
    <w:p w14:paraId="497DA838" w14:textId="77777777" w:rsidR="008127E0" w:rsidRPr="008127E0" w:rsidRDefault="008127E0" w:rsidP="008127E0">
      <w:pPr>
        <w:tabs>
          <w:tab w:val="clear" w:pos="284"/>
          <w:tab w:val="left" w:pos="708"/>
        </w:tabs>
        <w:spacing w:line="220" w:lineRule="exact"/>
        <w:rPr>
          <w:rFonts w:eastAsia="Calibri" w:cs="Times"/>
          <w:noProof/>
          <w:szCs w:val="22"/>
          <w:lang w:eastAsia="en-US"/>
        </w:rPr>
      </w:pPr>
      <w:r w:rsidRPr="008127E0">
        <w:rPr>
          <w:rFonts w:eastAsia="Calibri" w:cs="Times"/>
          <w:noProof/>
          <w:szCs w:val="22"/>
          <w:lang w:eastAsia="en-US"/>
        </w:rPr>
        <w:t>Verranno indicate in anticipo alcune date nelle quali - insieme al docente - interverranno a lezione ospiti esterni, accademici o rappresentanti del mondo delle imprese, su singole tematiche di interesse nell’ambito del corso.</w:t>
      </w:r>
    </w:p>
    <w:p w14:paraId="74AB57F0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t>METODO E CRITERI DI VALUTAZIONE</w:t>
      </w:r>
    </w:p>
    <w:p w14:paraId="6C598C18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</w:pPr>
      <w:r w:rsidRPr="008127E0">
        <w:t>L’esame si svolge in forma scritta ed è composto da domande a risposta multipla e a risposta aperta.</w:t>
      </w:r>
    </w:p>
    <w:p w14:paraId="426062F0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</w:pPr>
      <w:r w:rsidRPr="008127E0">
        <w:t>La durata prevista è un’ora e mezza.</w:t>
      </w:r>
    </w:p>
    <w:p w14:paraId="06C07286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</w:pPr>
      <w:r w:rsidRPr="008127E0">
        <w:rPr>
          <w:rFonts w:ascii="Times New Roman" w:hAnsi="Times New Roman"/>
        </w:rPr>
        <w:t xml:space="preserve">Ai fini della valutazione saranno presi in considerazione la pertinenza e la precisione delle risposte, l’uso appropriato della terminologia tecnica, la strutturazione argomentata e coerente delle risposte, i riferimenti a documenti (sentenze e prassi amministrativa) citati nel corso delle lezioni e forniti nel materiale di studio (su </w:t>
      </w:r>
      <w:proofErr w:type="spellStart"/>
      <w:r w:rsidRPr="008127E0">
        <w:rPr>
          <w:rFonts w:ascii="Times New Roman" w:hAnsi="Times New Roman"/>
        </w:rPr>
        <w:t>blackboard</w:t>
      </w:r>
      <w:proofErr w:type="spellEnd"/>
      <w:r w:rsidRPr="008127E0">
        <w:rPr>
          <w:rFonts w:ascii="Times New Roman" w:hAnsi="Times New Roman"/>
        </w:rPr>
        <w:t>).</w:t>
      </w:r>
    </w:p>
    <w:p w14:paraId="1FF63049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</w:pPr>
      <w:r w:rsidRPr="008127E0">
        <w:t>Il voto del modulo fa media con il voto conseguito in relazione al Modulo I ai fini della determinazione del voto complessivo dell’esame.</w:t>
      </w:r>
    </w:p>
    <w:p w14:paraId="42A71D70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  <w:rPr>
          <w:sz w:val="18"/>
        </w:rPr>
      </w:pPr>
    </w:p>
    <w:p w14:paraId="20211F04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t>AVVERTENZE E PREREQUISITI RICHIESTI</w:t>
      </w:r>
    </w:p>
    <w:p w14:paraId="31AFA150" w14:textId="77777777" w:rsidR="008127E0" w:rsidRPr="008127E0" w:rsidRDefault="008127E0" w:rsidP="008127E0">
      <w:pPr>
        <w:tabs>
          <w:tab w:val="clear" w:pos="284"/>
          <w:tab w:val="left" w:pos="6663"/>
        </w:tabs>
        <w:spacing w:before="120" w:after="120" w:line="288" w:lineRule="auto"/>
        <w:ind w:right="28"/>
        <w:rPr>
          <w:rFonts w:eastAsia="Calibri" w:cs="Times"/>
          <w:szCs w:val="22"/>
          <w:lang w:eastAsia="en-US"/>
        </w:rPr>
      </w:pPr>
      <w:r w:rsidRPr="008127E0">
        <w:rPr>
          <w:rFonts w:eastAsia="Calibri" w:cs="Times"/>
          <w:szCs w:val="22"/>
          <w:lang w:eastAsia="en-US"/>
        </w:rPr>
        <w:t>L’insegnamento necessita della conoscenza dei principi istituzionali del diritto privato e del diritto pubblico.</w:t>
      </w:r>
    </w:p>
    <w:p w14:paraId="39CC5121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t>ORARIO E LUOGO DI RICEVIMENTO DEGLI STUDENTI</w:t>
      </w:r>
    </w:p>
    <w:p w14:paraId="6E513B5F" w14:textId="77777777" w:rsidR="008127E0" w:rsidRPr="008127E0" w:rsidRDefault="008127E0" w:rsidP="008127E0">
      <w:pPr>
        <w:spacing w:line="288" w:lineRule="auto"/>
      </w:pPr>
      <w:r w:rsidRPr="008127E0">
        <w:t xml:space="preserve">Gli orari di ricevimento sono disponibili on line nella pagina personale del docente, consultabile al sito </w:t>
      </w:r>
      <w:hyperlink r:id="rId5" w:history="1">
        <w:r w:rsidRPr="008127E0">
          <w:rPr>
            <w:color w:val="0000FF"/>
            <w:u w:val="single"/>
          </w:rPr>
          <w:t>http://docenti.unicatt.it/</w:t>
        </w:r>
      </w:hyperlink>
    </w:p>
    <w:p w14:paraId="3D5FAA4A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  <w:rPr>
          <w:sz w:val="18"/>
        </w:rPr>
      </w:pPr>
    </w:p>
    <w:p w14:paraId="003CBDCC" w14:textId="77777777" w:rsidR="00526143" w:rsidRPr="00526143" w:rsidRDefault="00526143" w:rsidP="00526143">
      <w:pPr>
        <w:tabs>
          <w:tab w:val="clear" w:pos="284"/>
          <w:tab w:val="left" w:pos="708"/>
        </w:tabs>
        <w:spacing w:line="288" w:lineRule="auto"/>
        <w:rPr>
          <w:sz w:val="18"/>
        </w:rPr>
      </w:pPr>
    </w:p>
    <w:p w14:paraId="6D60E617" w14:textId="77777777" w:rsidR="00850754" w:rsidRDefault="00850754"/>
    <w:sectPr w:rsidR="00850754" w:rsidSect="00E3179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4254749">
    <w:abstractNumId w:val="1"/>
  </w:num>
  <w:num w:numId="2" w16cid:durableId="462693123">
    <w:abstractNumId w:val="1"/>
  </w:num>
  <w:num w:numId="3" w16cid:durableId="12071000">
    <w:abstractNumId w:val="0"/>
  </w:num>
  <w:num w:numId="4" w16cid:durableId="52934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4B"/>
    <w:rsid w:val="00032160"/>
    <w:rsid w:val="001C1ABB"/>
    <w:rsid w:val="002C6686"/>
    <w:rsid w:val="002D72E7"/>
    <w:rsid w:val="0033016F"/>
    <w:rsid w:val="00353813"/>
    <w:rsid w:val="00356216"/>
    <w:rsid w:val="003F237C"/>
    <w:rsid w:val="004223BC"/>
    <w:rsid w:val="00526143"/>
    <w:rsid w:val="005869D2"/>
    <w:rsid w:val="008127E0"/>
    <w:rsid w:val="00844BE5"/>
    <w:rsid w:val="00850754"/>
    <w:rsid w:val="00960EB7"/>
    <w:rsid w:val="00A10430"/>
    <w:rsid w:val="00AA2F6B"/>
    <w:rsid w:val="00BB7F33"/>
    <w:rsid w:val="00BF369C"/>
    <w:rsid w:val="00C346A4"/>
    <w:rsid w:val="00CA68D1"/>
    <w:rsid w:val="00CE344B"/>
    <w:rsid w:val="00E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  <w15:chartTrackingRefBased/>
  <w15:docId w15:val="{A8BC4A5A-B61B-4D43-8589-817E68A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chiara presciani</cp:lastModifiedBy>
  <cp:revision>2</cp:revision>
  <dcterms:created xsi:type="dcterms:W3CDTF">2023-05-12T11:07:00Z</dcterms:created>
  <dcterms:modified xsi:type="dcterms:W3CDTF">2023-05-12T11:07:00Z</dcterms:modified>
</cp:coreProperties>
</file>