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F94B" w14:textId="77777777" w:rsidR="00E30264" w:rsidRPr="00E34E21" w:rsidRDefault="001C35C7" w:rsidP="00EB769C">
      <w:pPr>
        <w:pStyle w:val="Titolo1"/>
        <w:spacing w:before="0" w:after="120" w:line="240" w:lineRule="auto"/>
        <w:rPr>
          <w:sz w:val="24"/>
          <w:szCs w:val="24"/>
        </w:rPr>
      </w:pPr>
      <w:r>
        <w:rPr>
          <w:sz w:val="24"/>
          <w:szCs w:val="24"/>
        </w:rPr>
        <w:t>Etiche della Terra</w:t>
      </w:r>
    </w:p>
    <w:p w14:paraId="6292B418" w14:textId="77777777" w:rsidR="00600D63" w:rsidRDefault="00D371DC" w:rsidP="00EB769C">
      <w:pPr>
        <w:pStyle w:val="Titolo2"/>
        <w:spacing w:after="120" w:line="240" w:lineRule="auto"/>
        <w:rPr>
          <w:rFonts w:cs="Times"/>
          <w:sz w:val="20"/>
        </w:rPr>
      </w:pPr>
      <w:r>
        <w:rPr>
          <w:rFonts w:cs="Times"/>
          <w:sz w:val="20"/>
        </w:rPr>
        <w:t>Prof.</w:t>
      </w:r>
      <w:r w:rsidR="00600D63">
        <w:rPr>
          <w:rFonts w:cs="Times"/>
          <w:sz w:val="20"/>
        </w:rPr>
        <w:t xml:space="preserve"> </w:t>
      </w:r>
      <w:r w:rsidR="001C35C7">
        <w:rPr>
          <w:rFonts w:cs="Times"/>
          <w:sz w:val="20"/>
        </w:rPr>
        <w:t>Roberto Maier</w:t>
      </w:r>
    </w:p>
    <w:p w14:paraId="3113F4AE" w14:textId="77777777" w:rsidR="00E30264" w:rsidRPr="00D371DC" w:rsidRDefault="00E30264" w:rsidP="00EB769C">
      <w:pPr>
        <w:pStyle w:val="Titolo3"/>
        <w:spacing w:line="276" w:lineRule="auto"/>
        <w:rPr>
          <w:b/>
          <w:bCs/>
          <w:sz w:val="20"/>
          <w:szCs w:val="21"/>
        </w:rPr>
      </w:pPr>
      <w:r w:rsidRPr="00D371DC">
        <w:rPr>
          <w:b/>
          <w:bCs/>
          <w:sz w:val="20"/>
          <w:szCs w:val="21"/>
        </w:rPr>
        <w:t>OBIETTIVO DEL CORSO</w:t>
      </w:r>
      <w:r w:rsidR="00FC531A" w:rsidRPr="00D371DC">
        <w:rPr>
          <w:b/>
          <w:bCs/>
          <w:sz w:val="20"/>
          <w:szCs w:val="21"/>
        </w:rPr>
        <w:t xml:space="preserve"> E RISULTATI DI APPRENDIMENTO</w:t>
      </w:r>
      <w:r w:rsidR="00B46151" w:rsidRPr="00D371DC">
        <w:rPr>
          <w:b/>
          <w:bCs/>
          <w:sz w:val="20"/>
          <w:szCs w:val="21"/>
        </w:rPr>
        <w:t xml:space="preserve"> ATTESI</w:t>
      </w:r>
    </w:p>
    <w:p w14:paraId="659E89A1" w14:textId="77777777" w:rsidR="001C35C7" w:rsidRDefault="001C35C7" w:rsidP="00EB769C">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L’insegnamento propone agli studenti un approccio critico </w:t>
      </w:r>
      <w:r w:rsidR="00F61A54">
        <w:rPr>
          <w:rFonts w:ascii="Times New Roman" w:hAnsi="Times New Roman"/>
          <w:color w:val="000000"/>
        </w:rPr>
        <w:t xml:space="preserve">al tema della </w:t>
      </w:r>
      <w:r w:rsidR="00390849">
        <w:rPr>
          <w:rFonts w:ascii="Times New Roman" w:hAnsi="Times New Roman"/>
          <w:color w:val="000000"/>
        </w:rPr>
        <w:t>sostenibilità</w:t>
      </w:r>
      <w:r>
        <w:rPr>
          <w:rFonts w:ascii="Times New Roman" w:hAnsi="Times New Roman"/>
          <w:color w:val="000000"/>
        </w:rPr>
        <w:t xml:space="preserve">, </w:t>
      </w:r>
      <w:r w:rsidR="00390849">
        <w:rPr>
          <w:rFonts w:ascii="Times New Roman" w:hAnsi="Times New Roman"/>
          <w:color w:val="000000"/>
        </w:rPr>
        <w:t xml:space="preserve">mostrando </w:t>
      </w:r>
      <w:r>
        <w:rPr>
          <w:rFonts w:ascii="Times New Roman" w:hAnsi="Times New Roman"/>
          <w:color w:val="000000"/>
        </w:rPr>
        <w:t xml:space="preserve">loro </w:t>
      </w:r>
      <w:r w:rsidR="00390849">
        <w:rPr>
          <w:rFonts w:ascii="Times New Roman" w:hAnsi="Times New Roman"/>
          <w:color w:val="000000"/>
        </w:rPr>
        <w:t xml:space="preserve">come il pensiero filosofico — con particolare attenzione al profilo antropologico ed etico — possa contribuire a chiarire i presupposti talvolta impliciti di </w:t>
      </w:r>
      <w:r w:rsidR="00F61A54">
        <w:rPr>
          <w:rFonts w:ascii="Times New Roman" w:hAnsi="Times New Roman"/>
          <w:color w:val="000000"/>
        </w:rPr>
        <w:t>diversi modelli di sostenibilità</w:t>
      </w:r>
      <w:r>
        <w:rPr>
          <w:rFonts w:ascii="Times New Roman" w:hAnsi="Times New Roman"/>
          <w:color w:val="000000"/>
        </w:rPr>
        <w:t>.</w:t>
      </w:r>
    </w:p>
    <w:p w14:paraId="0E12DE33" w14:textId="77777777" w:rsidR="001C35C7" w:rsidRDefault="001C35C7" w:rsidP="00EB769C">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Risultati attesi: </w:t>
      </w:r>
    </w:p>
    <w:p w14:paraId="04E315E9" w14:textId="77777777" w:rsidR="001C35C7" w:rsidRDefault="001C35C7" w:rsidP="00EB769C">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CONOSCENZA E COMPRENSIONE</w:t>
      </w:r>
    </w:p>
    <w:p w14:paraId="16CC34C8" w14:textId="77777777" w:rsidR="001C35C7" w:rsidRDefault="00390849" w:rsidP="00EB769C">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Al termine dell’insegnamento, lo studente sarà in grado di: </w:t>
      </w:r>
    </w:p>
    <w:p w14:paraId="3311ABC8" w14:textId="77777777" w:rsidR="00390849" w:rsidRDefault="00F61A54" w:rsidP="00390849">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Comprendere</w:t>
      </w:r>
      <w:r w:rsidR="00390849">
        <w:rPr>
          <w:rFonts w:ascii="Times New Roman" w:hAnsi="Times New Roman"/>
          <w:color w:val="000000"/>
        </w:rPr>
        <w:t xml:space="preserve"> le questioni etiche e antropologiche toccate dal paradigma della sostenibilità, nelle sue diverse forme.</w:t>
      </w:r>
    </w:p>
    <w:p w14:paraId="47F7EA4D" w14:textId="77777777" w:rsidR="00390849" w:rsidRDefault="00F61A54" w:rsidP="00390849">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Riconoscere l’esistenza di diversi </w:t>
      </w:r>
      <w:r w:rsidR="00390849">
        <w:rPr>
          <w:rFonts w:ascii="Times New Roman" w:hAnsi="Times New Roman"/>
          <w:color w:val="000000"/>
        </w:rPr>
        <w:t>modelli epistemologici</w:t>
      </w:r>
      <w:r>
        <w:rPr>
          <w:rFonts w:ascii="Times New Roman" w:hAnsi="Times New Roman"/>
          <w:color w:val="000000"/>
        </w:rPr>
        <w:t>, distinguendoli schematicamente a partire dai loro paradigmi (talvolta impliciti)</w:t>
      </w:r>
      <w:r w:rsidR="00BF6245">
        <w:rPr>
          <w:rFonts w:ascii="Times New Roman" w:hAnsi="Times New Roman"/>
          <w:color w:val="000000"/>
        </w:rPr>
        <w:t xml:space="preserve">, apprezzandone i guadagni e </w:t>
      </w:r>
      <w:r w:rsidR="001B7D75">
        <w:rPr>
          <w:rFonts w:ascii="Times New Roman" w:hAnsi="Times New Roman"/>
          <w:color w:val="000000"/>
        </w:rPr>
        <w:t xml:space="preserve">individuandone </w:t>
      </w:r>
      <w:r w:rsidR="00BF6245">
        <w:rPr>
          <w:rFonts w:ascii="Times New Roman" w:hAnsi="Times New Roman"/>
          <w:color w:val="000000"/>
        </w:rPr>
        <w:t>i limiti</w:t>
      </w:r>
      <w:r>
        <w:rPr>
          <w:rFonts w:ascii="Times New Roman" w:hAnsi="Times New Roman"/>
          <w:color w:val="000000"/>
        </w:rPr>
        <w:t>.</w:t>
      </w:r>
    </w:p>
    <w:p w14:paraId="0CE4733A" w14:textId="77777777" w:rsidR="00BF6245" w:rsidRPr="00094031" w:rsidRDefault="00BF6245" w:rsidP="00094031">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Apprezzare la pertinenza di un approccio fenomenologico, che muova </w:t>
      </w:r>
      <w:r w:rsidR="001B7D75">
        <w:rPr>
          <w:rFonts w:ascii="Times New Roman" w:hAnsi="Times New Roman"/>
          <w:color w:val="000000"/>
        </w:rPr>
        <w:t xml:space="preserve">a partire </w:t>
      </w:r>
      <w:r>
        <w:rPr>
          <w:rFonts w:ascii="Times New Roman" w:hAnsi="Times New Roman"/>
          <w:color w:val="000000"/>
        </w:rPr>
        <w:t>dall’analisi dell’esperienza umana</w:t>
      </w:r>
      <w:r w:rsidR="001B7D75">
        <w:rPr>
          <w:rFonts w:ascii="Times New Roman" w:hAnsi="Times New Roman"/>
          <w:color w:val="000000"/>
        </w:rPr>
        <w:t xml:space="preserve"> e della sua complessità più che da schemi teorici prestabiliti</w:t>
      </w:r>
      <w:r>
        <w:rPr>
          <w:rFonts w:ascii="Times New Roman" w:hAnsi="Times New Roman"/>
          <w:color w:val="000000"/>
        </w:rPr>
        <w:t>.</w:t>
      </w:r>
    </w:p>
    <w:p w14:paraId="33253716" w14:textId="77777777" w:rsidR="00BF6245" w:rsidRDefault="00BF6245" w:rsidP="00BF624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CAPACITÀ DI APPLICARE CONOSCENZA E COMPRENSIONE</w:t>
      </w:r>
    </w:p>
    <w:p w14:paraId="35BF179E" w14:textId="77777777" w:rsidR="00BF6245" w:rsidRDefault="00BF6245" w:rsidP="00BF624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Al termine dell’insegnamento, lo studente sarà in grado di:</w:t>
      </w:r>
    </w:p>
    <w:p w14:paraId="7EF9CCF4" w14:textId="77777777" w:rsidR="00BF6245" w:rsidRDefault="00BF6245" w:rsidP="00BF624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Capire l’importanza di mantenere sia la pluralità dei riferimenti, sia il dialogo tra essi, superando contrapposizioni e rispettive scomuniche e imparando ad abitare un luogo di pensiero complesso</w:t>
      </w:r>
      <w:r w:rsidR="00D75D87">
        <w:rPr>
          <w:rFonts w:ascii="Times New Roman" w:hAnsi="Times New Roman"/>
          <w:color w:val="000000"/>
        </w:rPr>
        <w:t xml:space="preserve"> come è, strutturalmente, quello della sostenibilità</w:t>
      </w:r>
      <w:r>
        <w:rPr>
          <w:rFonts w:ascii="Times New Roman" w:hAnsi="Times New Roman"/>
          <w:color w:val="000000"/>
        </w:rPr>
        <w:t>.</w:t>
      </w:r>
    </w:p>
    <w:p w14:paraId="5038B48F" w14:textId="5CEA74B0" w:rsidR="00BF6245" w:rsidRDefault="00BF6245" w:rsidP="00BF624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sidRPr="00BF6245">
        <w:rPr>
          <w:rFonts w:ascii="Times New Roman" w:hAnsi="Times New Roman"/>
          <w:color w:val="000000"/>
        </w:rPr>
        <w:t xml:space="preserve">Usare gli strumenti filosofici necessari, in particolare, </w:t>
      </w:r>
      <w:r>
        <w:rPr>
          <w:rFonts w:ascii="Times New Roman" w:hAnsi="Times New Roman"/>
          <w:color w:val="000000"/>
        </w:rPr>
        <w:t>per</w:t>
      </w:r>
      <w:r w:rsidRPr="00BF6245">
        <w:rPr>
          <w:rFonts w:ascii="Times New Roman" w:hAnsi="Times New Roman"/>
          <w:color w:val="000000"/>
        </w:rPr>
        <w:t xml:space="preserve"> superare la contrapposizione tra antropocentrismo e </w:t>
      </w:r>
      <w:r w:rsidR="0029166D">
        <w:rPr>
          <w:rFonts w:ascii="Times New Roman" w:hAnsi="Times New Roman"/>
          <w:color w:val="000000"/>
        </w:rPr>
        <w:t>biocentrismo</w:t>
      </w:r>
      <w:r w:rsidRPr="00BF6245">
        <w:rPr>
          <w:rFonts w:ascii="Times New Roman" w:hAnsi="Times New Roman"/>
          <w:color w:val="000000"/>
        </w:rPr>
        <w:t xml:space="preserve">, </w:t>
      </w:r>
      <w:r w:rsidR="00266AFA">
        <w:rPr>
          <w:rFonts w:ascii="Times New Roman" w:hAnsi="Times New Roman"/>
          <w:color w:val="000000"/>
        </w:rPr>
        <w:t>attraverso</w:t>
      </w:r>
      <w:r w:rsidRPr="00BF6245">
        <w:rPr>
          <w:rFonts w:ascii="Times New Roman" w:hAnsi="Times New Roman"/>
          <w:color w:val="000000"/>
        </w:rPr>
        <w:t xml:space="preserve"> una visione articolata del nesso natura-cultura</w:t>
      </w:r>
      <w:r>
        <w:rPr>
          <w:rFonts w:ascii="Times New Roman" w:hAnsi="Times New Roman"/>
          <w:color w:val="000000"/>
        </w:rPr>
        <w:t>.</w:t>
      </w:r>
    </w:p>
    <w:p w14:paraId="2A73BEF9" w14:textId="6A07D62B" w:rsidR="00094031" w:rsidRDefault="00D75D87" w:rsidP="001B7D7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Valutare l’impatto antropologico delle scelte fatte in ambito di sostenibilità, misurandosi, in particolare, con la dimensione</w:t>
      </w:r>
      <w:r w:rsidR="0029166D">
        <w:rPr>
          <w:rFonts w:ascii="Times New Roman" w:hAnsi="Times New Roman"/>
          <w:color w:val="000000"/>
        </w:rPr>
        <w:t xml:space="preserve"> culturale e</w:t>
      </w:r>
      <w:r>
        <w:rPr>
          <w:rFonts w:ascii="Times New Roman" w:hAnsi="Times New Roman"/>
          <w:color w:val="000000"/>
        </w:rPr>
        <w:t xml:space="preserve"> simbolica, che viene solitamente trascurata dai modelli di valutazione più diffusi. </w:t>
      </w:r>
    </w:p>
    <w:p w14:paraId="357214F3" w14:textId="60004F23" w:rsidR="001B7D75" w:rsidRPr="00094031" w:rsidRDefault="00094031" w:rsidP="001B7D7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rPr>
      </w:pPr>
      <w:r w:rsidRPr="00094031">
        <w:rPr>
          <w:rFonts w:ascii="Times New Roman" w:hAnsi="Times New Roman"/>
          <w:color w:val="000000"/>
        </w:rPr>
        <w:t xml:space="preserve">Riconoscere l’importanza </w:t>
      </w:r>
      <w:r w:rsidR="005E4CB7">
        <w:rPr>
          <w:rFonts w:ascii="Times New Roman" w:hAnsi="Times New Roman"/>
          <w:color w:val="000000"/>
        </w:rPr>
        <w:t>dei processi di inclusione e di coinvolgimento</w:t>
      </w:r>
      <w:r w:rsidRPr="00094031">
        <w:rPr>
          <w:rFonts w:ascii="Times New Roman" w:hAnsi="Times New Roman"/>
          <w:color w:val="000000"/>
        </w:rPr>
        <w:t xml:space="preserve"> affinché </w:t>
      </w:r>
      <w:r w:rsidR="005E4CB7">
        <w:rPr>
          <w:rFonts w:ascii="Times New Roman" w:hAnsi="Times New Roman"/>
          <w:color w:val="000000"/>
        </w:rPr>
        <w:t xml:space="preserve">la questione della sostenibilità </w:t>
      </w:r>
      <w:r w:rsidRPr="00094031">
        <w:rPr>
          <w:rFonts w:ascii="Times New Roman" w:hAnsi="Times New Roman"/>
          <w:color w:val="000000"/>
        </w:rPr>
        <w:t>sia</w:t>
      </w:r>
      <w:r w:rsidR="005E4CB7">
        <w:rPr>
          <w:rFonts w:ascii="Times New Roman" w:hAnsi="Times New Roman"/>
          <w:color w:val="000000"/>
        </w:rPr>
        <w:t xml:space="preserve"> </w:t>
      </w:r>
      <w:r w:rsidRPr="00094031">
        <w:rPr>
          <w:rFonts w:ascii="Times New Roman" w:hAnsi="Times New Roman"/>
          <w:color w:val="000000"/>
        </w:rPr>
        <w:t>effettivamente condivis</w:t>
      </w:r>
      <w:r w:rsidR="005E4CB7">
        <w:rPr>
          <w:rFonts w:ascii="Times New Roman" w:hAnsi="Times New Roman"/>
          <w:color w:val="000000"/>
        </w:rPr>
        <w:t>a</w:t>
      </w:r>
      <w:r w:rsidRPr="00094031">
        <w:rPr>
          <w:rFonts w:ascii="Times New Roman" w:hAnsi="Times New Roman"/>
          <w:color w:val="000000"/>
        </w:rPr>
        <w:t xml:space="preserve"> dagli </w:t>
      </w:r>
      <w:r w:rsidRPr="00094031">
        <w:rPr>
          <w:rFonts w:ascii="Times New Roman" w:hAnsi="Times New Roman"/>
          <w:i/>
          <w:color w:val="000000"/>
        </w:rPr>
        <w:t>stakeholders</w:t>
      </w:r>
      <w:r>
        <w:rPr>
          <w:rFonts w:ascii="Times New Roman" w:hAnsi="Times New Roman"/>
          <w:color w:val="000000"/>
        </w:rPr>
        <w:t>.</w:t>
      </w:r>
    </w:p>
    <w:p w14:paraId="668D9A68" w14:textId="77777777" w:rsidR="0029166D" w:rsidRDefault="0029166D" w:rsidP="001B7D75">
      <w:pPr>
        <w:tabs>
          <w:tab w:val="clear" w:pos="284"/>
        </w:tabs>
        <w:autoSpaceDE w:val="0"/>
        <w:autoSpaceDN w:val="0"/>
        <w:adjustRightInd w:val="0"/>
        <w:spacing w:after="120" w:line="240" w:lineRule="auto"/>
        <w:rPr>
          <w:rFonts w:ascii="Times New Roman" w:hAnsi="Times New Roman"/>
          <w:color w:val="000000"/>
        </w:rPr>
      </w:pPr>
    </w:p>
    <w:p w14:paraId="64739A74" w14:textId="77777777" w:rsidR="001B7D75" w:rsidRDefault="001B7D75"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AUTONOMIA DI GIUDIZIO</w:t>
      </w:r>
    </w:p>
    <w:p w14:paraId="41F93313" w14:textId="64B051DA" w:rsidR="001B7D75" w:rsidRDefault="001B7D75"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Al termine dell’insegnamento, è auspicabile che lo studente (al quale non verranno fornite soluzioni, bensì una panoramica delle questioni filosofiche implicite nei diversi modelli di sostenibilità) raggiunga una maggiore autonomia di giudizio all’interno del dibattito contemporaneo sulla crisi ecologica</w:t>
      </w:r>
      <w:r w:rsidR="0029166D">
        <w:rPr>
          <w:rFonts w:ascii="Times New Roman" w:hAnsi="Times New Roman"/>
          <w:color w:val="000000"/>
        </w:rPr>
        <w:t>, al riparo da semplificazioni ideologiche e da accomodanti adattamenti.</w:t>
      </w:r>
    </w:p>
    <w:p w14:paraId="10293F11" w14:textId="77777777" w:rsidR="001B7D75" w:rsidRDefault="001B7D75"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ABILITÀ COMUNICATIVE</w:t>
      </w:r>
    </w:p>
    <w:p w14:paraId="19651684" w14:textId="77777777" w:rsidR="001B7D75" w:rsidRDefault="001B7D75"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Al termine dell’insegnamento</w:t>
      </w:r>
      <w:r w:rsidR="00D75D87">
        <w:rPr>
          <w:rFonts w:ascii="Times New Roman" w:hAnsi="Times New Roman"/>
          <w:color w:val="000000"/>
        </w:rPr>
        <w:t>,</w:t>
      </w:r>
      <w:r>
        <w:rPr>
          <w:rFonts w:ascii="Times New Roman" w:hAnsi="Times New Roman"/>
          <w:color w:val="000000"/>
        </w:rPr>
        <w:t xml:space="preserve"> lo studente avrà appreso </w:t>
      </w:r>
      <w:r w:rsidR="00D75D87">
        <w:rPr>
          <w:rFonts w:ascii="Times New Roman" w:hAnsi="Times New Roman"/>
          <w:color w:val="000000"/>
        </w:rPr>
        <w:t>i guadagni di un</w:t>
      </w:r>
      <w:r>
        <w:rPr>
          <w:rFonts w:ascii="Times New Roman" w:hAnsi="Times New Roman"/>
          <w:color w:val="000000"/>
        </w:rPr>
        <w:t xml:space="preserve"> </w:t>
      </w:r>
      <w:r w:rsidR="00D75D87">
        <w:rPr>
          <w:rFonts w:ascii="Times New Roman" w:hAnsi="Times New Roman"/>
          <w:color w:val="000000"/>
        </w:rPr>
        <w:t xml:space="preserve">approccio </w:t>
      </w:r>
      <w:r>
        <w:rPr>
          <w:rFonts w:ascii="Times New Roman" w:hAnsi="Times New Roman"/>
          <w:color w:val="000000"/>
        </w:rPr>
        <w:t xml:space="preserve">dialogico e sarà </w:t>
      </w:r>
      <w:r w:rsidR="00094031">
        <w:rPr>
          <w:rFonts w:ascii="Times New Roman" w:hAnsi="Times New Roman"/>
          <w:color w:val="000000"/>
        </w:rPr>
        <w:t xml:space="preserve">più propenso ad </w:t>
      </w:r>
      <w:r w:rsidR="00D75D87">
        <w:rPr>
          <w:rFonts w:ascii="Times New Roman" w:hAnsi="Times New Roman"/>
          <w:color w:val="000000"/>
        </w:rPr>
        <w:t>una comunicazione non divisiva.</w:t>
      </w:r>
    </w:p>
    <w:p w14:paraId="561D874A" w14:textId="77777777" w:rsidR="001B7D75" w:rsidRDefault="001B7D75"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CAPACITÀ DI APPRENDIMENTO</w:t>
      </w:r>
    </w:p>
    <w:p w14:paraId="45DC0AB5" w14:textId="77777777" w:rsidR="00D75D87" w:rsidRPr="001B7D75" w:rsidRDefault="00D75D87"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Al termine del corso, lo studente avrà intuito la necessità di continuare ad approfondire autonomamente la sua conoscenza dell’esperienza umana, attingendo </w:t>
      </w:r>
      <w:r w:rsidR="00094031">
        <w:rPr>
          <w:rFonts w:ascii="Times New Roman" w:hAnsi="Times New Roman"/>
          <w:color w:val="000000"/>
        </w:rPr>
        <w:t xml:space="preserve">non solo dalla filosofia e dall’etica, ma anche </w:t>
      </w:r>
      <w:r>
        <w:rPr>
          <w:rFonts w:ascii="Times New Roman" w:hAnsi="Times New Roman"/>
          <w:color w:val="000000"/>
        </w:rPr>
        <w:t xml:space="preserve">dal mondo </w:t>
      </w:r>
      <w:r w:rsidR="00094031">
        <w:rPr>
          <w:rFonts w:ascii="Times New Roman" w:hAnsi="Times New Roman"/>
          <w:color w:val="000000"/>
        </w:rPr>
        <w:t>del simbolico e dell’estetico (</w:t>
      </w:r>
      <w:r w:rsidR="00C6628E">
        <w:rPr>
          <w:rFonts w:ascii="Times New Roman" w:hAnsi="Times New Roman"/>
          <w:color w:val="000000"/>
        </w:rPr>
        <w:t xml:space="preserve">arte, poetica, </w:t>
      </w:r>
      <w:r w:rsidR="00094031">
        <w:rPr>
          <w:rFonts w:ascii="Times New Roman" w:hAnsi="Times New Roman"/>
          <w:color w:val="000000"/>
        </w:rPr>
        <w:t>narrativa)</w:t>
      </w:r>
      <w:r w:rsidR="00C6628E">
        <w:rPr>
          <w:rFonts w:ascii="Times New Roman" w:hAnsi="Times New Roman"/>
          <w:color w:val="000000"/>
        </w:rPr>
        <w:t>.</w:t>
      </w:r>
    </w:p>
    <w:p w14:paraId="2593A004" w14:textId="77777777" w:rsidR="00E30264" w:rsidRPr="00D371DC" w:rsidRDefault="00E30264" w:rsidP="00EB769C">
      <w:pPr>
        <w:pStyle w:val="Titolo3"/>
        <w:spacing w:line="276" w:lineRule="auto"/>
        <w:rPr>
          <w:b/>
          <w:bCs/>
          <w:sz w:val="20"/>
          <w:szCs w:val="21"/>
        </w:rPr>
      </w:pPr>
      <w:r w:rsidRPr="00D371DC">
        <w:rPr>
          <w:b/>
          <w:bCs/>
          <w:sz w:val="20"/>
          <w:szCs w:val="21"/>
        </w:rPr>
        <w:t>PROGRAMMA DEL CORSO</w:t>
      </w:r>
    </w:p>
    <w:p w14:paraId="2B6E8043" w14:textId="7C077612" w:rsidR="00EB769C" w:rsidRDefault="0029166D"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Il ruolo della filosofia nell’ambito della transdisciplinarità:</w:t>
      </w:r>
      <w:r w:rsidR="005B158E">
        <w:rPr>
          <w:rFonts w:cs="Times"/>
        </w:rPr>
        <w:t xml:space="preserve"> </w:t>
      </w:r>
      <w:r>
        <w:rPr>
          <w:rFonts w:cs="Times"/>
        </w:rPr>
        <w:t xml:space="preserve">chiarimenti terminologici, </w:t>
      </w:r>
      <w:r w:rsidR="005B158E">
        <w:rPr>
          <w:rFonts w:cs="Times"/>
        </w:rPr>
        <w:t>superamento dell’ovvio, luoghi pratici dell’essere umano.</w:t>
      </w:r>
    </w:p>
    <w:p w14:paraId="493B56C4" w14:textId="673EFCB3" w:rsidR="00EB769C" w:rsidRDefault="005B158E"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Storia del rapporto pratico tra l’umano e la terra. Cosa significa fare storia? La rivoluzione agricola del neolitico e il ruolo della tecnica.</w:t>
      </w:r>
    </w:p>
    <w:p w14:paraId="047C8189" w14:textId="3C580BEE" w:rsidR="00EB769C" w:rsidRDefault="005B158E"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Storia del rapporto pratico tra l’umano e la terra. La svolta della scrittura, la verità come testo. Elementi eccentrici nel mondo della scrittura: la magia, il simbolo, la letteratura.</w:t>
      </w:r>
    </w:p>
    <w:p w14:paraId="37822090" w14:textId="0E06C73C" w:rsidR="00EB769C" w:rsidRDefault="005B158E"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Storia del rapporto pratico tra l’umano e la terra</w:t>
      </w:r>
      <w:r w:rsidR="009E1D06">
        <w:rPr>
          <w:rFonts w:cs="Times"/>
        </w:rPr>
        <w:t>.</w:t>
      </w:r>
      <w:r>
        <w:rPr>
          <w:rFonts w:cs="Times"/>
        </w:rPr>
        <w:t xml:space="preserve"> La modernità di Cartesio, l’inascoltabile proposta di Spinoza. Uno sguardo a ciò che chiamiamo post-modernità. </w:t>
      </w:r>
    </w:p>
    <w:p w14:paraId="16280C35" w14:textId="50C6F273" w:rsidR="0059598C" w:rsidRPr="005E4CB7" w:rsidRDefault="005B158E"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5E4CB7">
        <w:rPr>
          <w:rFonts w:cs="Times"/>
          <w:i/>
          <w:iCs/>
        </w:rPr>
        <w:t>Planet</w:t>
      </w:r>
      <w:r>
        <w:rPr>
          <w:rFonts w:cs="Times"/>
        </w:rPr>
        <w:t xml:space="preserve">. Il movimento ecologista. </w:t>
      </w:r>
      <w:r w:rsidRPr="005E4CB7">
        <w:rPr>
          <w:rFonts w:cs="Times"/>
        </w:rPr>
        <w:t xml:space="preserve">Deep </w:t>
      </w:r>
      <w:proofErr w:type="spellStart"/>
      <w:r w:rsidRPr="005E4CB7">
        <w:rPr>
          <w:rFonts w:cs="Times"/>
        </w:rPr>
        <w:t>Ecology</w:t>
      </w:r>
      <w:proofErr w:type="spellEnd"/>
      <w:r w:rsidRPr="005E4CB7">
        <w:rPr>
          <w:rFonts w:cs="Times"/>
        </w:rPr>
        <w:t xml:space="preserve"> e </w:t>
      </w:r>
      <w:proofErr w:type="spellStart"/>
      <w:r w:rsidRPr="005E4CB7">
        <w:rPr>
          <w:rFonts w:cs="Times"/>
        </w:rPr>
        <w:t>Shallow</w:t>
      </w:r>
      <w:proofErr w:type="spellEnd"/>
      <w:r w:rsidRPr="005E4CB7">
        <w:rPr>
          <w:rFonts w:cs="Times"/>
        </w:rPr>
        <w:t xml:space="preserve"> </w:t>
      </w:r>
      <w:proofErr w:type="spellStart"/>
      <w:r w:rsidRPr="005E4CB7">
        <w:rPr>
          <w:rFonts w:cs="Times"/>
        </w:rPr>
        <w:t>Ecology</w:t>
      </w:r>
      <w:proofErr w:type="spellEnd"/>
      <w:r w:rsidRPr="005E4CB7">
        <w:rPr>
          <w:rFonts w:cs="Times"/>
        </w:rPr>
        <w:t>.</w:t>
      </w:r>
    </w:p>
    <w:p w14:paraId="19690334" w14:textId="72B34C1E" w:rsidR="00EB769C" w:rsidRDefault="005B158E"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5E4CB7">
        <w:rPr>
          <w:rFonts w:cs="Times"/>
          <w:i/>
          <w:iCs/>
        </w:rPr>
        <w:t>Planet</w:t>
      </w:r>
      <w:r>
        <w:rPr>
          <w:rFonts w:cs="Times"/>
        </w:rPr>
        <w:t>. L’eco-femminismo e la questione del potere.</w:t>
      </w:r>
    </w:p>
    <w:p w14:paraId="6CACB356" w14:textId="2E7FB86C" w:rsidR="00EB769C" w:rsidRDefault="005B158E"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5E4CB7">
        <w:rPr>
          <w:rFonts w:cs="Times"/>
          <w:i/>
          <w:iCs/>
        </w:rPr>
        <w:t>People</w:t>
      </w:r>
      <w:r>
        <w:rPr>
          <w:rFonts w:cs="Times"/>
        </w:rPr>
        <w:t>. Tre modelli di società e i loro limiti: gli esperti, le istituzioni, il mercato. L’invisibilità dell’esperienza umana nelle semplificazioni del patto sociale</w:t>
      </w:r>
      <w:r w:rsidR="009E1D06">
        <w:rPr>
          <w:rFonts w:cs="Times"/>
        </w:rPr>
        <w:t xml:space="preserve"> </w:t>
      </w:r>
    </w:p>
    <w:p w14:paraId="3868D517" w14:textId="028B36D4" w:rsidR="00EB769C" w:rsidRDefault="005B158E"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5E4CB7">
        <w:rPr>
          <w:rFonts w:cs="Times"/>
          <w:i/>
          <w:iCs/>
        </w:rPr>
        <w:t>People</w:t>
      </w:r>
      <w:r>
        <w:rPr>
          <w:rFonts w:cs="Times"/>
        </w:rPr>
        <w:t>. La generatività dell’esperienza umana nel patto sociale: il laboratorio, il sovrano, il giudizio di valore</w:t>
      </w:r>
    </w:p>
    <w:p w14:paraId="28C3AE18" w14:textId="3A1D3E2C" w:rsidR="0059598C" w:rsidRDefault="005B158E"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5E4CB7">
        <w:rPr>
          <w:rFonts w:cs="Times"/>
          <w:i/>
          <w:iCs/>
        </w:rPr>
        <w:t>Profit</w:t>
      </w:r>
      <w:r>
        <w:rPr>
          <w:rFonts w:cs="Times"/>
        </w:rPr>
        <w:t>. L’economia come luogo umano: il godimento, la mancanza, il lavoro.</w:t>
      </w:r>
    </w:p>
    <w:p w14:paraId="75FAA748" w14:textId="5EAE8904" w:rsidR="00EB769C" w:rsidRPr="00E752FB" w:rsidRDefault="005B158E"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5E4CB7">
        <w:rPr>
          <w:rFonts w:cs="Times"/>
          <w:i/>
          <w:iCs/>
        </w:rPr>
        <w:t>Profit</w:t>
      </w:r>
      <w:r w:rsidR="00E752FB">
        <w:rPr>
          <w:rFonts w:cs="Times"/>
        </w:rPr>
        <w:t>.</w:t>
      </w:r>
      <w:r>
        <w:rPr>
          <w:rFonts w:cs="Times"/>
        </w:rPr>
        <w:t xml:space="preserve"> Il denaro come giudizio di valore, il denaro come strumento di scambio, il denaro come accumulo di valore. Conclusioni</w:t>
      </w:r>
    </w:p>
    <w:p w14:paraId="2BF069D2" w14:textId="77777777" w:rsidR="00E30264" w:rsidRPr="00D371DC" w:rsidRDefault="00E30264" w:rsidP="00EB769C">
      <w:pPr>
        <w:pStyle w:val="Titolo3"/>
        <w:spacing w:line="276" w:lineRule="auto"/>
        <w:rPr>
          <w:b/>
          <w:bCs/>
          <w:sz w:val="20"/>
          <w:szCs w:val="21"/>
        </w:rPr>
      </w:pPr>
      <w:r w:rsidRPr="00D371DC">
        <w:rPr>
          <w:b/>
          <w:bCs/>
          <w:sz w:val="20"/>
          <w:szCs w:val="21"/>
        </w:rPr>
        <w:t>BIBLIOGRAFIA</w:t>
      </w:r>
    </w:p>
    <w:p w14:paraId="41187016" w14:textId="016A5612" w:rsidR="00C6628E" w:rsidRDefault="00C6628E" w:rsidP="00EB769C">
      <w:pPr>
        <w:pStyle w:val="Testo1"/>
        <w:spacing w:after="120" w:line="240" w:lineRule="auto"/>
        <w:ind w:left="0" w:firstLine="0"/>
        <w:rPr>
          <w:rFonts w:cs="Times"/>
          <w:noProof w:val="0"/>
          <w:sz w:val="20"/>
        </w:rPr>
      </w:pPr>
      <w:r>
        <w:rPr>
          <w:rFonts w:cs="Times"/>
          <w:noProof w:val="0"/>
          <w:sz w:val="20"/>
        </w:rPr>
        <w:t xml:space="preserve">Il docente renderà disponibile su </w:t>
      </w:r>
      <w:proofErr w:type="spellStart"/>
      <w:r>
        <w:rPr>
          <w:rFonts w:cs="Times"/>
          <w:noProof w:val="0"/>
          <w:sz w:val="20"/>
        </w:rPr>
        <w:t>Blackboard</w:t>
      </w:r>
      <w:proofErr w:type="spellEnd"/>
      <w:r>
        <w:rPr>
          <w:rFonts w:cs="Times"/>
          <w:noProof w:val="0"/>
          <w:sz w:val="20"/>
        </w:rPr>
        <w:t xml:space="preserve"> una dispensa dedicata al corso.</w:t>
      </w:r>
    </w:p>
    <w:p w14:paraId="6955D9CF" w14:textId="0DE0926B" w:rsidR="005E4CB7" w:rsidRPr="00C6628E" w:rsidRDefault="005E4CB7" w:rsidP="00EB769C">
      <w:pPr>
        <w:pStyle w:val="Testo1"/>
        <w:spacing w:after="120" w:line="240" w:lineRule="auto"/>
        <w:ind w:left="0" w:firstLine="0"/>
        <w:rPr>
          <w:rFonts w:cs="Times"/>
          <w:noProof w:val="0"/>
          <w:sz w:val="20"/>
        </w:rPr>
      </w:pPr>
      <w:r>
        <w:rPr>
          <w:rFonts w:cs="Times"/>
          <w:noProof w:val="0"/>
          <w:sz w:val="20"/>
        </w:rPr>
        <w:t>Un testo a scelta tra questi sarà richiesto agli studenti non frequentanti:</w:t>
      </w:r>
    </w:p>
    <w:p w14:paraId="6190CAD1" w14:textId="77777777" w:rsidR="00C6628E" w:rsidRDefault="00C6628E" w:rsidP="00C6628E">
      <w:pPr>
        <w:pStyle w:val="Testo1"/>
        <w:spacing w:after="120" w:line="240" w:lineRule="auto"/>
        <w:ind w:left="0" w:firstLine="0"/>
        <w:rPr>
          <w:rFonts w:cs="Times"/>
          <w:noProof w:val="0"/>
          <w:sz w:val="20"/>
        </w:rPr>
      </w:pPr>
      <w:r>
        <w:rPr>
          <w:rFonts w:cs="Times"/>
          <w:noProof w:val="0"/>
          <w:sz w:val="20"/>
        </w:rPr>
        <w:t xml:space="preserve">M. </w:t>
      </w:r>
      <w:proofErr w:type="spellStart"/>
      <w:r>
        <w:rPr>
          <w:rFonts w:cs="Times"/>
          <w:noProof w:val="0"/>
          <w:sz w:val="20"/>
        </w:rPr>
        <w:t>Tallacchini</w:t>
      </w:r>
      <w:proofErr w:type="spellEnd"/>
      <w:r>
        <w:rPr>
          <w:rFonts w:cs="Times"/>
          <w:noProof w:val="0"/>
          <w:sz w:val="20"/>
        </w:rPr>
        <w:t xml:space="preserve"> (ed.), </w:t>
      </w:r>
      <w:r>
        <w:rPr>
          <w:rFonts w:cs="Times"/>
          <w:i/>
          <w:noProof w:val="0"/>
          <w:sz w:val="20"/>
        </w:rPr>
        <w:t>Etiche della Terra. Antologia di filosofia dell’ambiente</w:t>
      </w:r>
      <w:r>
        <w:rPr>
          <w:rFonts w:cs="Times"/>
          <w:noProof w:val="0"/>
          <w:sz w:val="20"/>
        </w:rPr>
        <w:t>, Vita &amp; Pensiero, Milano 1998.</w:t>
      </w:r>
    </w:p>
    <w:p w14:paraId="5AFEFEC9" w14:textId="6CEA9204" w:rsidR="005E4CB7" w:rsidRDefault="005E4CB7" w:rsidP="00C6628E">
      <w:pPr>
        <w:pStyle w:val="Testo1"/>
        <w:spacing w:after="120" w:line="240" w:lineRule="auto"/>
        <w:ind w:left="0" w:firstLine="0"/>
        <w:rPr>
          <w:rFonts w:cs="Times"/>
          <w:noProof w:val="0"/>
          <w:sz w:val="20"/>
        </w:rPr>
      </w:pPr>
      <w:r w:rsidRPr="005E4CB7">
        <w:rPr>
          <w:rFonts w:cs="Times"/>
          <w:noProof w:val="0"/>
          <w:sz w:val="20"/>
        </w:rPr>
        <w:t xml:space="preserve">E. C. </w:t>
      </w:r>
      <w:proofErr w:type="spellStart"/>
      <w:r w:rsidRPr="005E4CB7">
        <w:rPr>
          <w:rFonts w:cs="Times"/>
          <w:noProof w:val="0"/>
          <w:sz w:val="20"/>
        </w:rPr>
        <w:t>Hargrove</w:t>
      </w:r>
      <w:proofErr w:type="spellEnd"/>
      <w:r w:rsidRPr="005E4CB7">
        <w:rPr>
          <w:rFonts w:cs="Times"/>
          <w:noProof w:val="0"/>
          <w:sz w:val="20"/>
        </w:rPr>
        <w:t xml:space="preserve">, </w:t>
      </w:r>
      <w:r w:rsidRPr="005E4CB7">
        <w:rPr>
          <w:rFonts w:cs="Times"/>
          <w:i/>
          <w:iCs/>
          <w:noProof w:val="0"/>
          <w:sz w:val="20"/>
        </w:rPr>
        <w:t>Fondamenti di etica ambientale. Prospettive filosofiche del problema ambientale</w:t>
      </w:r>
      <w:r w:rsidRPr="005E4CB7">
        <w:rPr>
          <w:rFonts w:cs="Times"/>
          <w:noProof w:val="0"/>
          <w:sz w:val="20"/>
        </w:rPr>
        <w:t>, Franco Muzzio, Padova 1990</w:t>
      </w:r>
      <w:r>
        <w:rPr>
          <w:rFonts w:cs="Times"/>
          <w:noProof w:val="0"/>
          <w:sz w:val="20"/>
        </w:rPr>
        <w:t>.</w:t>
      </w:r>
    </w:p>
    <w:p w14:paraId="797FB380" w14:textId="72BE80E9" w:rsidR="005E4CB7" w:rsidRDefault="005E4CB7" w:rsidP="00C6628E">
      <w:pPr>
        <w:pStyle w:val="Testo1"/>
        <w:spacing w:after="120" w:line="240" w:lineRule="auto"/>
        <w:ind w:left="0" w:firstLine="0"/>
        <w:rPr>
          <w:rFonts w:cs="Times"/>
          <w:noProof w:val="0"/>
          <w:sz w:val="20"/>
        </w:rPr>
      </w:pPr>
      <w:r w:rsidRPr="005E4CB7">
        <w:rPr>
          <w:rFonts w:cs="Times"/>
          <w:noProof w:val="0"/>
          <w:sz w:val="20"/>
        </w:rPr>
        <w:t xml:space="preserve">L. Valera, </w:t>
      </w:r>
      <w:r w:rsidRPr="005E4CB7">
        <w:rPr>
          <w:rFonts w:cs="Times"/>
          <w:i/>
          <w:iCs/>
          <w:noProof w:val="0"/>
          <w:sz w:val="20"/>
        </w:rPr>
        <w:t>Ecologia umana. Le sfide etiche del rapporto uomo/ambiente</w:t>
      </w:r>
      <w:r w:rsidRPr="005E4CB7">
        <w:rPr>
          <w:rFonts w:cs="Times"/>
          <w:noProof w:val="0"/>
          <w:sz w:val="20"/>
        </w:rPr>
        <w:t>, Aracne, Roma 2013</w:t>
      </w:r>
      <w:r>
        <w:rPr>
          <w:rFonts w:cs="Times"/>
          <w:noProof w:val="0"/>
          <w:sz w:val="20"/>
        </w:rPr>
        <w:t>.</w:t>
      </w:r>
    </w:p>
    <w:p w14:paraId="52A08CCF" w14:textId="11113A1A" w:rsidR="005E4CB7" w:rsidRDefault="005E4CB7" w:rsidP="00C6628E">
      <w:pPr>
        <w:pStyle w:val="Testo1"/>
        <w:spacing w:after="120" w:line="240" w:lineRule="auto"/>
        <w:ind w:left="0" w:firstLine="0"/>
        <w:rPr>
          <w:rFonts w:cs="Times"/>
          <w:noProof w:val="0"/>
          <w:sz w:val="20"/>
        </w:rPr>
      </w:pPr>
      <w:r w:rsidRPr="005E4CB7">
        <w:rPr>
          <w:rFonts w:cs="Times"/>
          <w:noProof w:val="0"/>
          <w:sz w:val="20"/>
        </w:rPr>
        <w:t>L. Mortari, Educazione ecologica, Laterza, Roma 2020</w:t>
      </w:r>
      <w:r>
        <w:rPr>
          <w:rFonts w:cs="Times"/>
          <w:noProof w:val="0"/>
          <w:sz w:val="20"/>
        </w:rPr>
        <w:t>.</w:t>
      </w:r>
    </w:p>
    <w:p w14:paraId="4ED486BA" w14:textId="4307EAF6" w:rsidR="005E4CB7" w:rsidRDefault="005E4CB7" w:rsidP="00C6628E">
      <w:pPr>
        <w:pStyle w:val="Testo1"/>
        <w:spacing w:after="120" w:line="240" w:lineRule="auto"/>
        <w:ind w:left="0" w:firstLine="0"/>
        <w:rPr>
          <w:rFonts w:cs="Times"/>
          <w:noProof w:val="0"/>
          <w:sz w:val="20"/>
        </w:rPr>
      </w:pPr>
      <w:r w:rsidRPr="005E4CB7">
        <w:rPr>
          <w:rFonts w:cs="Times"/>
          <w:noProof w:val="0"/>
          <w:sz w:val="20"/>
        </w:rPr>
        <w:t xml:space="preserve">S. Natoli, </w:t>
      </w:r>
      <w:r w:rsidRPr="005E4CB7">
        <w:rPr>
          <w:rFonts w:cs="Times"/>
          <w:i/>
          <w:iCs/>
          <w:noProof w:val="0"/>
          <w:sz w:val="20"/>
        </w:rPr>
        <w:t>Il posto dell'uomo nel mondo. Ordine naturale, disordine umano</w:t>
      </w:r>
      <w:r w:rsidRPr="005E4CB7">
        <w:rPr>
          <w:rFonts w:cs="Times"/>
          <w:noProof w:val="0"/>
          <w:sz w:val="20"/>
        </w:rPr>
        <w:t>, Feltrinelli, Milano 2022</w:t>
      </w:r>
      <w:r>
        <w:rPr>
          <w:rFonts w:cs="Times"/>
          <w:noProof w:val="0"/>
          <w:sz w:val="20"/>
        </w:rPr>
        <w:t>.</w:t>
      </w:r>
    </w:p>
    <w:p w14:paraId="0AC19111" w14:textId="013956E8" w:rsidR="00FC531A" w:rsidRPr="003F1689" w:rsidRDefault="00C6628E" w:rsidP="00EB769C">
      <w:pPr>
        <w:pStyle w:val="Testo1"/>
        <w:spacing w:after="120" w:line="240" w:lineRule="auto"/>
        <w:ind w:left="0" w:firstLine="0"/>
        <w:rPr>
          <w:rFonts w:cs="Times"/>
          <w:noProof w:val="0"/>
          <w:sz w:val="20"/>
        </w:rPr>
      </w:pPr>
      <w:r>
        <w:rPr>
          <w:rFonts w:cs="Times"/>
          <w:noProof w:val="0"/>
          <w:sz w:val="20"/>
        </w:rPr>
        <w:t xml:space="preserve">Materiale bibliografico ulteriore </w:t>
      </w:r>
      <w:r w:rsidR="00EB769C" w:rsidRPr="003F1689">
        <w:rPr>
          <w:rFonts w:cs="Times"/>
          <w:noProof w:val="0"/>
          <w:sz w:val="20"/>
        </w:rPr>
        <w:t xml:space="preserve">(documenti, </w:t>
      </w:r>
      <w:r>
        <w:rPr>
          <w:rFonts w:cs="Times"/>
          <w:noProof w:val="0"/>
          <w:sz w:val="20"/>
        </w:rPr>
        <w:t>articoli</w:t>
      </w:r>
      <w:r w:rsidR="00EB769C" w:rsidRPr="003F1689">
        <w:rPr>
          <w:rFonts w:cs="Times"/>
          <w:noProof w:val="0"/>
          <w:sz w:val="20"/>
        </w:rPr>
        <w:t xml:space="preserve">, </w:t>
      </w:r>
      <w:r>
        <w:rPr>
          <w:rFonts w:cs="Times"/>
          <w:noProof w:val="0"/>
          <w:sz w:val="20"/>
        </w:rPr>
        <w:t>letture</w:t>
      </w:r>
      <w:r w:rsidR="00EB769C" w:rsidRPr="003F1689">
        <w:rPr>
          <w:rFonts w:cs="Times"/>
          <w:noProof w:val="0"/>
          <w:sz w:val="20"/>
        </w:rPr>
        <w:t>)</w:t>
      </w:r>
      <w:r>
        <w:rPr>
          <w:rFonts w:cs="Times"/>
          <w:noProof w:val="0"/>
          <w:sz w:val="20"/>
        </w:rPr>
        <w:t xml:space="preserve"> sarà reso disponibile su </w:t>
      </w:r>
      <w:proofErr w:type="spellStart"/>
      <w:r>
        <w:rPr>
          <w:rFonts w:cs="Times"/>
          <w:noProof w:val="0"/>
          <w:sz w:val="20"/>
        </w:rPr>
        <w:t>Blackboard</w:t>
      </w:r>
      <w:proofErr w:type="spellEnd"/>
      <w:r w:rsidR="005E4CB7">
        <w:rPr>
          <w:rFonts w:cs="Times"/>
          <w:noProof w:val="0"/>
          <w:sz w:val="20"/>
        </w:rPr>
        <w:t>, sia per gli studenti frequentanti, sia per quelli non frequentanti.</w:t>
      </w:r>
    </w:p>
    <w:p w14:paraId="3EE6E42F" w14:textId="77777777" w:rsidR="00EB769C" w:rsidRPr="00C6628E" w:rsidRDefault="00C6628E" w:rsidP="00EB769C">
      <w:r>
        <w:t xml:space="preserve">Le </w:t>
      </w:r>
      <w:r>
        <w:rPr>
          <w:i/>
        </w:rPr>
        <w:t>slides</w:t>
      </w:r>
      <w:r>
        <w:t xml:space="preserve"> del corso saranno rese disponibili su </w:t>
      </w:r>
      <w:proofErr w:type="spellStart"/>
      <w:r>
        <w:t>Blackboard</w:t>
      </w:r>
      <w:proofErr w:type="spellEnd"/>
    </w:p>
    <w:p w14:paraId="3ACCC2F4" w14:textId="77777777" w:rsidR="00E30264" w:rsidRPr="00D371DC" w:rsidRDefault="00E30264" w:rsidP="00EB769C">
      <w:pPr>
        <w:pStyle w:val="Titolo3"/>
        <w:spacing w:line="276" w:lineRule="auto"/>
        <w:rPr>
          <w:b/>
          <w:bCs/>
          <w:sz w:val="20"/>
          <w:szCs w:val="21"/>
        </w:rPr>
      </w:pPr>
      <w:r w:rsidRPr="00D371DC">
        <w:rPr>
          <w:b/>
          <w:bCs/>
          <w:sz w:val="20"/>
          <w:szCs w:val="21"/>
        </w:rPr>
        <w:t>DIDATTICA DEL CORSO</w:t>
      </w:r>
    </w:p>
    <w:p w14:paraId="5C5FE959" w14:textId="77777777" w:rsidR="003F1689" w:rsidRDefault="00C6628E" w:rsidP="00EB769C">
      <w:pPr>
        <w:pStyle w:val="Testo2"/>
        <w:spacing w:after="120" w:line="240" w:lineRule="auto"/>
        <w:ind w:firstLine="0"/>
        <w:rPr>
          <w:rFonts w:cs="Times"/>
          <w:sz w:val="20"/>
        </w:rPr>
      </w:pPr>
      <w:r>
        <w:rPr>
          <w:rFonts w:cs="Times"/>
          <w:sz w:val="20"/>
        </w:rPr>
        <w:t>Il corso sarà svolto attraverso lezioni di didattica frontale,</w:t>
      </w:r>
      <w:r w:rsidR="00E752FB">
        <w:rPr>
          <w:rFonts w:cs="Times"/>
          <w:sz w:val="20"/>
        </w:rPr>
        <w:t xml:space="preserve"> tuttavia saranno frequenti i</w:t>
      </w:r>
      <w:r>
        <w:rPr>
          <w:rFonts w:cs="Times"/>
          <w:sz w:val="20"/>
        </w:rPr>
        <w:t xml:space="preserve"> momenti di dibattito,</w:t>
      </w:r>
      <w:r w:rsidR="00E752FB">
        <w:rPr>
          <w:rFonts w:cs="Times"/>
          <w:sz w:val="20"/>
        </w:rPr>
        <w:t xml:space="preserve"> oltre a</w:t>
      </w:r>
      <w:r>
        <w:rPr>
          <w:rFonts w:cs="Times"/>
          <w:sz w:val="20"/>
        </w:rPr>
        <w:t xml:space="preserve"> lavori di gruppo</w:t>
      </w:r>
      <w:r w:rsidR="00E752FB">
        <w:rPr>
          <w:rFonts w:cs="Times"/>
          <w:sz w:val="20"/>
        </w:rPr>
        <w:t>,</w:t>
      </w:r>
      <w:r>
        <w:rPr>
          <w:rFonts w:cs="Times"/>
          <w:sz w:val="20"/>
        </w:rPr>
        <w:t xml:space="preserve"> da svolgere </w:t>
      </w:r>
      <w:r w:rsidR="00E752FB">
        <w:rPr>
          <w:rFonts w:cs="Times"/>
          <w:sz w:val="20"/>
        </w:rPr>
        <w:t>per lo più in classe</w:t>
      </w:r>
      <w:r>
        <w:rPr>
          <w:rFonts w:cs="Times"/>
          <w:sz w:val="20"/>
        </w:rPr>
        <w:t xml:space="preserve">. </w:t>
      </w:r>
      <w:r w:rsidR="00E752FB">
        <w:rPr>
          <w:rFonts w:cs="Times"/>
          <w:sz w:val="20"/>
        </w:rPr>
        <w:t>Le lezioni attingeranno frequentemente all’esperienza artistico-estetica, proponendo esempi pratici di interpretazione di opere d’arte.</w:t>
      </w:r>
    </w:p>
    <w:p w14:paraId="6687EBF2" w14:textId="77777777" w:rsidR="00E30264" w:rsidRPr="00D371DC" w:rsidRDefault="00E30264" w:rsidP="00EB769C">
      <w:pPr>
        <w:pStyle w:val="Titolo3"/>
        <w:spacing w:line="276" w:lineRule="auto"/>
        <w:rPr>
          <w:b/>
          <w:bCs/>
          <w:sz w:val="20"/>
          <w:szCs w:val="21"/>
        </w:rPr>
      </w:pPr>
      <w:r w:rsidRPr="00D371DC">
        <w:rPr>
          <w:b/>
          <w:bCs/>
          <w:sz w:val="20"/>
          <w:szCs w:val="21"/>
        </w:rPr>
        <w:t xml:space="preserve">METODO </w:t>
      </w:r>
      <w:r w:rsidR="00FC531A" w:rsidRPr="00D371DC">
        <w:rPr>
          <w:b/>
          <w:bCs/>
          <w:sz w:val="20"/>
          <w:szCs w:val="21"/>
        </w:rPr>
        <w:t xml:space="preserve">E CRITERI </w:t>
      </w:r>
      <w:r w:rsidRPr="00D371DC">
        <w:rPr>
          <w:b/>
          <w:bCs/>
          <w:sz w:val="20"/>
          <w:szCs w:val="21"/>
        </w:rPr>
        <w:t>DI VALUTAZIONE</w:t>
      </w:r>
    </w:p>
    <w:p w14:paraId="07D65EB9" w14:textId="77777777" w:rsidR="00464344" w:rsidRDefault="00E67690" w:rsidP="00E752FB">
      <w:pPr>
        <w:pStyle w:val="Testo2"/>
        <w:spacing w:after="120" w:line="240" w:lineRule="auto"/>
        <w:ind w:firstLine="0"/>
        <w:rPr>
          <w:rFonts w:cs="Times"/>
          <w:sz w:val="20"/>
        </w:rPr>
      </w:pPr>
      <w:r>
        <w:rPr>
          <w:rFonts w:cs="Times"/>
          <w:sz w:val="20"/>
        </w:rPr>
        <w:t>I metodi previsti di accertamenteo delle conoscenze e competenze acquisite sono</w:t>
      </w:r>
      <w:r w:rsidR="00464344">
        <w:rPr>
          <w:rFonts w:cs="Times"/>
          <w:sz w:val="20"/>
        </w:rPr>
        <w:t xml:space="preserve"> i seguenti</w:t>
      </w:r>
      <w:r>
        <w:rPr>
          <w:rFonts w:cs="Times"/>
          <w:sz w:val="20"/>
        </w:rPr>
        <w:t xml:space="preserve">: </w:t>
      </w:r>
    </w:p>
    <w:p w14:paraId="0773A358" w14:textId="2EE63C48" w:rsidR="00E67690" w:rsidRDefault="00E67690" w:rsidP="00E752FB">
      <w:pPr>
        <w:pStyle w:val="Testo2"/>
        <w:spacing w:after="120" w:line="240" w:lineRule="auto"/>
        <w:ind w:firstLine="0"/>
        <w:rPr>
          <w:rFonts w:cs="Times"/>
          <w:sz w:val="20"/>
        </w:rPr>
      </w:pPr>
      <w:r>
        <w:rPr>
          <w:rFonts w:cs="Times"/>
          <w:sz w:val="20"/>
        </w:rPr>
        <w:t xml:space="preserve">a) è previsto un esame orale costituito da </w:t>
      </w:r>
      <w:r w:rsidR="005E4CB7">
        <w:rPr>
          <w:rFonts w:cs="Times"/>
          <w:sz w:val="20"/>
        </w:rPr>
        <w:t>tre</w:t>
      </w:r>
      <w:r>
        <w:rPr>
          <w:rFonts w:cs="Times"/>
          <w:sz w:val="20"/>
        </w:rPr>
        <w:t xml:space="preserve"> domande, una scelta dallo studente (che costituisce il </w:t>
      </w:r>
      <w:r w:rsidR="005E4CB7">
        <w:rPr>
          <w:rFonts w:cs="Times"/>
          <w:sz w:val="20"/>
        </w:rPr>
        <w:t>50</w:t>
      </w:r>
      <w:r>
        <w:rPr>
          <w:rFonts w:cs="Times"/>
          <w:sz w:val="20"/>
        </w:rPr>
        <w:t>% del voto finale), una scelta dal docente (che costituisce il 40% del voto finale</w:t>
      </w:r>
      <w:r w:rsidR="005E4CB7">
        <w:rPr>
          <w:rFonts w:cs="Times"/>
          <w:sz w:val="20"/>
        </w:rPr>
        <w:t>, più la presentazione di un articolo o di un testo (10% del voto finale)</w:t>
      </w:r>
      <w:r w:rsidR="00E752FB">
        <w:rPr>
          <w:rFonts w:cs="Times"/>
          <w:sz w:val="20"/>
        </w:rPr>
        <w:t>.</w:t>
      </w:r>
      <w:r>
        <w:rPr>
          <w:rFonts w:cs="Times"/>
          <w:sz w:val="20"/>
        </w:rPr>
        <w:t xml:space="preserve"> Lo studente dovrà dimostrare di conoscere i concetti chiave degli autori proposti. Sarà valutata la sua capacità di argomentare in modo personale</w:t>
      </w:r>
      <w:r w:rsidR="00266AFA">
        <w:rPr>
          <w:rFonts w:cs="Times"/>
          <w:sz w:val="20"/>
        </w:rPr>
        <w:t xml:space="preserve"> e di sapersi muovere tra i temi e le questioni di fondo discussi durante le lezioni. </w:t>
      </w:r>
    </w:p>
    <w:p w14:paraId="7A4E272E" w14:textId="60132D31" w:rsidR="00E67690" w:rsidRDefault="00E67690" w:rsidP="00E752FB">
      <w:pPr>
        <w:pStyle w:val="Testo2"/>
        <w:spacing w:after="120" w:line="240" w:lineRule="auto"/>
        <w:ind w:firstLine="0"/>
        <w:rPr>
          <w:rFonts w:cs="Times"/>
          <w:sz w:val="20"/>
        </w:rPr>
      </w:pPr>
      <w:r>
        <w:rPr>
          <w:rFonts w:cs="Times"/>
          <w:sz w:val="20"/>
        </w:rPr>
        <w:t xml:space="preserve">b) Gli studenti che lo desiderano possono sostituire la </w:t>
      </w:r>
      <w:r w:rsidR="005E4CB7">
        <w:rPr>
          <w:rFonts w:cs="Times"/>
          <w:sz w:val="20"/>
        </w:rPr>
        <w:t xml:space="preserve">presentazione dell’articolo </w:t>
      </w:r>
      <w:r>
        <w:rPr>
          <w:rFonts w:cs="Times"/>
          <w:sz w:val="20"/>
        </w:rPr>
        <w:t xml:space="preserve">con un lavoro di gruppo (al massimo 2-4 componenti) su una bibliografia </w:t>
      </w:r>
      <w:r w:rsidR="00266AFA">
        <w:rPr>
          <w:rFonts w:cs="Times"/>
          <w:sz w:val="20"/>
        </w:rPr>
        <w:t xml:space="preserve">precedentemente </w:t>
      </w:r>
      <w:r>
        <w:rPr>
          <w:rFonts w:cs="Times"/>
          <w:sz w:val="20"/>
        </w:rPr>
        <w:t>concordata con il docente</w:t>
      </w:r>
      <w:r w:rsidR="00266AFA">
        <w:rPr>
          <w:rFonts w:cs="Times"/>
          <w:sz w:val="20"/>
        </w:rPr>
        <w:t xml:space="preserve">. Chi avrà scelto questa modalità dovrà comunque sostenere l’esame orale, con una domanda a scelta del docente </w:t>
      </w:r>
      <w:r w:rsidR="005E4CB7">
        <w:rPr>
          <w:rFonts w:cs="Times"/>
          <w:sz w:val="20"/>
        </w:rPr>
        <w:t>e con una domanda a scelta dello studente</w:t>
      </w:r>
      <w:r w:rsidR="00266AFA">
        <w:rPr>
          <w:rFonts w:cs="Times"/>
          <w:sz w:val="20"/>
        </w:rPr>
        <w:t>. Oltre alla capacità argomentativa e alla conoscenza della materia, sarà valutata la capacità di lavorare in gruppo in modo armonico ed equilibrato.</w:t>
      </w:r>
    </w:p>
    <w:p w14:paraId="7939ED41" w14:textId="48B025BF" w:rsidR="00F01432" w:rsidRDefault="00F01432" w:rsidP="00EB769C">
      <w:pPr>
        <w:pStyle w:val="Titolo3"/>
        <w:spacing w:line="276" w:lineRule="auto"/>
        <w:rPr>
          <w:b/>
          <w:bCs/>
          <w:sz w:val="20"/>
          <w:szCs w:val="21"/>
        </w:rPr>
      </w:pPr>
      <w:r>
        <w:rPr>
          <w:b/>
          <w:bCs/>
          <w:sz w:val="20"/>
          <w:szCs w:val="21"/>
        </w:rPr>
        <w:t>PREREQUISITI</w:t>
      </w:r>
    </w:p>
    <w:p w14:paraId="28A4FE29" w14:textId="517960C3" w:rsidR="00F01432" w:rsidRPr="00F01432" w:rsidRDefault="00F01432" w:rsidP="00F01432">
      <w:r>
        <w:t xml:space="preserve">Avendo carattere introduttivo, l’insegnamento non ha </w:t>
      </w:r>
      <w:r w:rsidRPr="00F01432">
        <w:t>necessita di prerequisiti relativi ai contenuti. Si presuppone comunque interesse e curiosità intellettuale per la riflessione filosofica.</w:t>
      </w:r>
    </w:p>
    <w:p w14:paraId="2342031A" w14:textId="4E644F10" w:rsidR="00E30264" w:rsidRPr="00D371DC" w:rsidRDefault="00E30264" w:rsidP="00EB769C">
      <w:pPr>
        <w:pStyle w:val="Titolo3"/>
        <w:spacing w:line="276" w:lineRule="auto"/>
        <w:rPr>
          <w:b/>
          <w:bCs/>
          <w:sz w:val="20"/>
          <w:szCs w:val="21"/>
        </w:rPr>
      </w:pPr>
      <w:r w:rsidRPr="00D371DC">
        <w:rPr>
          <w:b/>
          <w:bCs/>
          <w:sz w:val="20"/>
          <w:szCs w:val="21"/>
        </w:rPr>
        <w:t>ORARIO E LUOGO DI RICEVIMENTO DEGLI STUDENTI</w:t>
      </w:r>
    </w:p>
    <w:p w14:paraId="1300124D" w14:textId="5AB9A6A9" w:rsidR="00D371DC" w:rsidRPr="005E4CB7" w:rsidRDefault="00614DEE" w:rsidP="005E4CB7">
      <w:pPr>
        <w:tabs>
          <w:tab w:val="clear" w:pos="284"/>
          <w:tab w:val="left" w:pos="708"/>
          <w:tab w:val="left" w:pos="6663"/>
          <w:tab w:val="left" w:pos="9072"/>
        </w:tabs>
        <w:spacing w:after="120" w:line="240" w:lineRule="auto"/>
        <w:ind w:right="27"/>
        <w:rPr>
          <w:rFonts w:cs="Times"/>
          <w:noProof/>
        </w:rPr>
      </w:pPr>
      <w:r>
        <w:rPr>
          <w:rFonts w:cs="Times"/>
          <w:noProof/>
        </w:rPr>
        <w:t xml:space="preserve">Gli studenti sono invitati a contattare il docente per fissare un ricevimento, sia in presenza, sia online. I recepiti del docente sono disponibili sul </w:t>
      </w:r>
      <w:r w:rsidR="00E30264" w:rsidRPr="00E7128E">
        <w:rPr>
          <w:rFonts w:cs="Times"/>
          <w:noProof/>
        </w:rPr>
        <w:t xml:space="preserve">sito </w:t>
      </w:r>
      <w:hyperlink r:id="rId5" w:history="1">
        <w:r w:rsidR="00E30264" w:rsidRPr="00E7128E">
          <w:rPr>
            <w:rStyle w:val="Collegamentoipertestuale"/>
            <w:rFonts w:eastAsiaTheme="majorEastAsia" w:cs="Times"/>
          </w:rPr>
          <w:t>http://docenti.unicatt.it/</w:t>
        </w:r>
      </w:hyperlink>
    </w:p>
    <w:sectPr w:rsidR="00D371DC" w:rsidRPr="005E4CB7"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731D8F"/>
    <w:multiLevelType w:val="hybridMultilevel"/>
    <w:tmpl w:val="0A42E50E"/>
    <w:lvl w:ilvl="0" w:tplc="94F6230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22BBA"/>
    <w:multiLevelType w:val="hybridMultilevel"/>
    <w:tmpl w:val="8E6C393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6787388">
    <w:abstractNumId w:val="5"/>
  </w:num>
  <w:num w:numId="2" w16cid:durableId="1405642032">
    <w:abstractNumId w:val="15"/>
  </w:num>
  <w:num w:numId="3" w16cid:durableId="368998073">
    <w:abstractNumId w:val="23"/>
  </w:num>
  <w:num w:numId="4" w16cid:durableId="1339621784">
    <w:abstractNumId w:val="7"/>
  </w:num>
  <w:num w:numId="5" w16cid:durableId="1165707382">
    <w:abstractNumId w:val="18"/>
  </w:num>
  <w:num w:numId="6" w16cid:durableId="843283124">
    <w:abstractNumId w:val="24"/>
  </w:num>
  <w:num w:numId="7" w16cid:durableId="1302491861">
    <w:abstractNumId w:val="4"/>
  </w:num>
  <w:num w:numId="8" w16cid:durableId="537668812">
    <w:abstractNumId w:val="27"/>
  </w:num>
  <w:num w:numId="9" w16cid:durableId="1296329046">
    <w:abstractNumId w:val="35"/>
  </w:num>
  <w:num w:numId="10" w16cid:durableId="1399278590">
    <w:abstractNumId w:val="13"/>
  </w:num>
  <w:num w:numId="11" w16cid:durableId="2069306866">
    <w:abstractNumId w:val="6"/>
  </w:num>
  <w:num w:numId="12" w16cid:durableId="1454250779">
    <w:abstractNumId w:val="17"/>
  </w:num>
  <w:num w:numId="13" w16cid:durableId="1040936115">
    <w:abstractNumId w:val="22"/>
  </w:num>
  <w:num w:numId="14" w16cid:durableId="702440245">
    <w:abstractNumId w:val="9"/>
  </w:num>
  <w:num w:numId="15" w16cid:durableId="2083137476">
    <w:abstractNumId w:val="29"/>
  </w:num>
  <w:num w:numId="16" w16cid:durableId="1444499686">
    <w:abstractNumId w:val="16"/>
  </w:num>
  <w:num w:numId="17" w16cid:durableId="454568779">
    <w:abstractNumId w:val="34"/>
  </w:num>
  <w:num w:numId="18" w16cid:durableId="1258490348">
    <w:abstractNumId w:val="34"/>
  </w:num>
  <w:num w:numId="19" w16cid:durableId="1562708998">
    <w:abstractNumId w:val="31"/>
  </w:num>
  <w:num w:numId="20" w16cid:durableId="1830511095">
    <w:abstractNumId w:val="19"/>
  </w:num>
  <w:num w:numId="21" w16cid:durableId="2096123432">
    <w:abstractNumId w:val="0"/>
  </w:num>
  <w:num w:numId="22" w16cid:durableId="1220022102">
    <w:abstractNumId w:val="1"/>
  </w:num>
  <w:num w:numId="23" w16cid:durableId="1015959094">
    <w:abstractNumId w:val="20"/>
  </w:num>
  <w:num w:numId="24" w16cid:durableId="335302104">
    <w:abstractNumId w:val="13"/>
  </w:num>
  <w:num w:numId="25" w16cid:durableId="556942763">
    <w:abstractNumId w:val="14"/>
  </w:num>
  <w:num w:numId="26" w16cid:durableId="402533054">
    <w:abstractNumId w:val="32"/>
  </w:num>
  <w:num w:numId="27" w16cid:durableId="278924895">
    <w:abstractNumId w:val="26"/>
  </w:num>
  <w:num w:numId="28" w16cid:durableId="663243870">
    <w:abstractNumId w:val="8"/>
  </w:num>
  <w:num w:numId="29" w16cid:durableId="1850409967">
    <w:abstractNumId w:val="28"/>
  </w:num>
  <w:num w:numId="30" w16cid:durableId="2054961120">
    <w:abstractNumId w:val="36"/>
  </w:num>
  <w:num w:numId="31" w16cid:durableId="778372888">
    <w:abstractNumId w:val="25"/>
  </w:num>
  <w:num w:numId="32" w16cid:durableId="1740129575">
    <w:abstractNumId w:val="11"/>
  </w:num>
  <w:num w:numId="33" w16cid:durableId="860506266">
    <w:abstractNumId w:val="21"/>
  </w:num>
  <w:num w:numId="34" w16cid:durableId="545141010">
    <w:abstractNumId w:val="10"/>
  </w:num>
  <w:num w:numId="35" w16cid:durableId="85611351">
    <w:abstractNumId w:val="33"/>
  </w:num>
  <w:num w:numId="36" w16cid:durableId="1028524549">
    <w:abstractNumId w:val="3"/>
  </w:num>
  <w:num w:numId="37" w16cid:durableId="349721714">
    <w:abstractNumId w:val="30"/>
  </w:num>
  <w:num w:numId="38" w16cid:durableId="960765206">
    <w:abstractNumId w:val="12"/>
  </w:num>
  <w:num w:numId="39" w16cid:durableId="423957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4E"/>
    <w:rsid w:val="00013D8C"/>
    <w:rsid w:val="00025B8B"/>
    <w:rsid w:val="00036032"/>
    <w:rsid w:val="00051707"/>
    <w:rsid w:val="00055050"/>
    <w:rsid w:val="00056F46"/>
    <w:rsid w:val="00094031"/>
    <w:rsid w:val="000C5453"/>
    <w:rsid w:val="000D22D0"/>
    <w:rsid w:val="00105398"/>
    <w:rsid w:val="00177CE0"/>
    <w:rsid w:val="00186B7C"/>
    <w:rsid w:val="001B7D75"/>
    <w:rsid w:val="001C35C7"/>
    <w:rsid w:val="001D4A03"/>
    <w:rsid w:val="001F3C4A"/>
    <w:rsid w:val="00205F8C"/>
    <w:rsid w:val="00236713"/>
    <w:rsid w:val="00266AFA"/>
    <w:rsid w:val="0029166D"/>
    <w:rsid w:val="002D1B8C"/>
    <w:rsid w:val="002E7203"/>
    <w:rsid w:val="003129C8"/>
    <w:rsid w:val="00346C00"/>
    <w:rsid w:val="00390849"/>
    <w:rsid w:val="00392672"/>
    <w:rsid w:val="003B1F9C"/>
    <w:rsid w:val="003C0DE4"/>
    <w:rsid w:val="003C12D4"/>
    <w:rsid w:val="003E478B"/>
    <w:rsid w:val="003F1689"/>
    <w:rsid w:val="003F7AE0"/>
    <w:rsid w:val="004201A8"/>
    <w:rsid w:val="00431017"/>
    <w:rsid w:val="004546CC"/>
    <w:rsid w:val="004550B6"/>
    <w:rsid w:val="0046288C"/>
    <w:rsid w:val="00464344"/>
    <w:rsid w:val="00465720"/>
    <w:rsid w:val="00471E02"/>
    <w:rsid w:val="00495B52"/>
    <w:rsid w:val="004C0188"/>
    <w:rsid w:val="004D60DE"/>
    <w:rsid w:val="00526A87"/>
    <w:rsid w:val="005709F2"/>
    <w:rsid w:val="00584CB0"/>
    <w:rsid w:val="0059598C"/>
    <w:rsid w:val="005B158E"/>
    <w:rsid w:val="005C4605"/>
    <w:rsid w:val="005E4CB7"/>
    <w:rsid w:val="005F1D66"/>
    <w:rsid w:val="005F29FB"/>
    <w:rsid w:val="005F7073"/>
    <w:rsid w:val="00600D63"/>
    <w:rsid w:val="00614DEE"/>
    <w:rsid w:val="006175AA"/>
    <w:rsid w:val="006223E7"/>
    <w:rsid w:val="0066415A"/>
    <w:rsid w:val="00664CD1"/>
    <w:rsid w:val="0069398F"/>
    <w:rsid w:val="006975AE"/>
    <w:rsid w:val="006B6DF0"/>
    <w:rsid w:val="006C7B25"/>
    <w:rsid w:val="006D08C4"/>
    <w:rsid w:val="006F5B2E"/>
    <w:rsid w:val="0070074D"/>
    <w:rsid w:val="00703383"/>
    <w:rsid w:val="0071087B"/>
    <w:rsid w:val="00731AAD"/>
    <w:rsid w:val="007379BA"/>
    <w:rsid w:val="007700A8"/>
    <w:rsid w:val="007859A0"/>
    <w:rsid w:val="0080593C"/>
    <w:rsid w:val="00810EE2"/>
    <w:rsid w:val="0081379C"/>
    <w:rsid w:val="008326B2"/>
    <w:rsid w:val="00833D15"/>
    <w:rsid w:val="00886EA3"/>
    <w:rsid w:val="00896F8B"/>
    <w:rsid w:val="008A016C"/>
    <w:rsid w:val="008A2AA7"/>
    <w:rsid w:val="00914FAB"/>
    <w:rsid w:val="00937505"/>
    <w:rsid w:val="00960387"/>
    <w:rsid w:val="00973BC8"/>
    <w:rsid w:val="00995770"/>
    <w:rsid w:val="009E1D06"/>
    <w:rsid w:val="009E1E05"/>
    <w:rsid w:val="009F2748"/>
    <w:rsid w:val="00A059A1"/>
    <w:rsid w:val="00A12023"/>
    <w:rsid w:val="00A60CBF"/>
    <w:rsid w:val="00A71B9E"/>
    <w:rsid w:val="00AC5A73"/>
    <w:rsid w:val="00B0098D"/>
    <w:rsid w:val="00B27571"/>
    <w:rsid w:val="00B46151"/>
    <w:rsid w:val="00B4631B"/>
    <w:rsid w:val="00B73E97"/>
    <w:rsid w:val="00B857CC"/>
    <w:rsid w:val="00B94E68"/>
    <w:rsid w:val="00BB002D"/>
    <w:rsid w:val="00BC444E"/>
    <w:rsid w:val="00BE2DAA"/>
    <w:rsid w:val="00BF6245"/>
    <w:rsid w:val="00C05385"/>
    <w:rsid w:val="00C0660E"/>
    <w:rsid w:val="00C6628E"/>
    <w:rsid w:val="00CB3928"/>
    <w:rsid w:val="00D04816"/>
    <w:rsid w:val="00D25B90"/>
    <w:rsid w:val="00D371DC"/>
    <w:rsid w:val="00D501CC"/>
    <w:rsid w:val="00D75B80"/>
    <w:rsid w:val="00D75D87"/>
    <w:rsid w:val="00DA3337"/>
    <w:rsid w:val="00DA3393"/>
    <w:rsid w:val="00DA4A23"/>
    <w:rsid w:val="00E047AB"/>
    <w:rsid w:val="00E30264"/>
    <w:rsid w:val="00E34E21"/>
    <w:rsid w:val="00E4285D"/>
    <w:rsid w:val="00E61EA2"/>
    <w:rsid w:val="00E67690"/>
    <w:rsid w:val="00E7128E"/>
    <w:rsid w:val="00E752FB"/>
    <w:rsid w:val="00E82EEA"/>
    <w:rsid w:val="00EA323D"/>
    <w:rsid w:val="00EB5BA6"/>
    <w:rsid w:val="00EB769C"/>
    <w:rsid w:val="00EC1257"/>
    <w:rsid w:val="00F01432"/>
    <w:rsid w:val="00F61A54"/>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A96A3"/>
  <w15:docId w15:val="{F460A18B-7456-4527-84DF-DF323607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0236">
      <w:bodyDiv w:val="1"/>
      <w:marLeft w:val="0"/>
      <w:marRight w:val="0"/>
      <w:marTop w:val="0"/>
      <w:marBottom w:val="0"/>
      <w:divBdr>
        <w:top w:val="none" w:sz="0" w:space="0" w:color="auto"/>
        <w:left w:val="none" w:sz="0" w:space="0" w:color="auto"/>
        <w:bottom w:val="none" w:sz="0" w:space="0" w:color="auto"/>
        <w:right w:val="none" w:sz="0" w:space="0" w:color="auto"/>
      </w:divBdr>
      <w:divsChild>
        <w:div w:id="1562398426">
          <w:marLeft w:val="0"/>
          <w:marRight w:val="0"/>
          <w:marTop w:val="0"/>
          <w:marBottom w:val="0"/>
          <w:divBdr>
            <w:top w:val="none" w:sz="0" w:space="0" w:color="auto"/>
            <w:left w:val="none" w:sz="0" w:space="0" w:color="auto"/>
            <w:bottom w:val="none" w:sz="0" w:space="0" w:color="auto"/>
            <w:right w:val="none" w:sz="0" w:space="0" w:color="auto"/>
          </w:divBdr>
          <w:divsChild>
            <w:div w:id="2019693432">
              <w:marLeft w:val="0"/>
              <w:marRight w:val="0"/>
              <w:marTop w:val="0"/>
              <w:marBottom w:val="0"/>
              <w:divBdr>
                <w:top w:val="none" w:sz="0" w:space="0" w:color="auto"/>
                <w:left w:val="none" w:sz="0" w:space="0" w:color="auto"/>
                <w:bottom w:val="none" w:sz="0" w:space="0" w:color="auto"/>
                <w:right w:val="none" w:sz="0" w:space="0" w:color="auto"/>
              </w:divBdr>
              <w:divsChild>
                <w:div w:id="18351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13</TotalTime>
  <Pages>1</Pages>
  <Words>1021</Words>
  <Characters>5822</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Maier Roberto</cp:lastModifiedBy>
  <cp:revision>3</cp:revision>
  <cp:lastPrinted>2016-05-05T11:20:00Z</cp:lastPrinted>
  <dcterms:created xsi:type="dcterms:W3CDTF">2023-06-19T14:21:00Z</dcterms:created>
  <dcterms:modified xsi:type="dcterms:W3CDTF">2023-06-19T14:29:00Z</dcterms:modified>
</cp:coreProperties>
</file>