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6B825" w14:textId="2915BF64" w:rsidR="006A0836" w:rsidRPr="00686045" w:rsidRDefault="00B973A6" w:rsidP="006A0836">
      <w:pPr>
        <w:spacing w:after="0" w:line="240" w:lineRule="exact"/>
        <w:outlineLvl w:val="1"/>
        <w:rPr>
          <w:rFonts w:ascii="Times New Roman" w:eastAsia="Times New Roman" w:hAnsi="Times New Roman" w:cs="Times New Roman"/>
          <w:b/>
          <w:noProof/>
          <w:sz w:val="20"/>
          <w:szCs w:val="20"/>
          <w:lang w:eastAsia="it-IT"/>
        </w:rPr>
      </w:pPr>
      <w:r>
        <w:rPr>
          <w:rFonts w:ascii="Times New Roman" w:eastAsia="Times New Roman" w:hAnsi="Times New Roman" w:cs="Times New Roman"/>
          <w:b/>
          <w:noProof/>
          <w:sz w:val="20"/>
          <w:szCs w:val="20"/>
          <w:lang w:eastAsia="it-IT"/>
        </w:rPr>
        <w:t>Economia e politica della s</w:t>
      </w:r>
      <w:r w:rsidRPr="00686045">
        <w:rPr>
          <w:rFonts w:ascii="Times New Roman" w:eastAsia="Times New Roman" w:hAnsi="Times New Roman" w:cs="Times New Roman"/>
          <w:b/>
          <w:noProof/>
          <w:sz w:val="20"/>
          <w:szCs w:val="20"/>
          <w:lang w:eastAsia="it-IT"/>
        </w:rPr>
        <w:t>ostenibilita’</w:t>
      </w:r>
    </w:p>
    <w:p w14:paraId="19F8F233" w14:textId="05B6E6D7" w:rsidR="006A0836" w:rsidRPr="00686045" w:rsidRDefault="006A0836" w:rsidP="006A0836">
      <w:pPr>
        <w:spacing w:after="0" w:line="240" w:lineRule="exact"/>
        <w:outlineLvl w:val="1"/>
        <w:rPr>
          <w:rFonts w:ascii="Times New Roman" w:eastAsia="Times New Roman" w:hAnsi="Times New Roman" w:cs="Times New Roman"/>
          <w:smallCaps/>
          <w:noProof/>
          <w:sz w:val="20"/>
          <w:szCs w:val="20"/>
          <w:lang w:eastAsia="it-IT"/>
        </w:rPr>
      </w:pPr>
      <w:r w:rsidRPr="00686045">
        <w:rPr>
          <w:rFonts w:ascii="Times New Roman" w:eastAsia="Times New Roman" w:hAnsi="Times New Roman" w:cs="Times New Roman"/>
          <w:smallCaps/>
          <w:noProof/>
          <w:sz w:val="20"/>
          <w:szCs w:val="20"/>
          <w:lang w:eastAsia="it-IT"/>
        </w:rPr>
        <w:t>Proff. Francesco Timpano, Giovanni Guastella</w:t>
      </w:r>
    </w:p>
    <w:p w14:paraId="7E703DBB" w14:textId="77777777" w:rsidR="006A0836" w:rsidRPr="00686045" w:rsidRDefault="006A0836" w:rsidP="006A0836">
      <w:pPr>
        <w:tabs>
          <w:tab w:val="left" w:pos="284"/>
        </w:tabs>
        <w:spacing w:before="240" w:after="120" w:line="240" w:lineRule="exact"/>
        <w:jc w:val="both"/>
        <w:rPr>
          <w:rFonts w:ascii="Times New Roman" w:eastAsia="Times New Roman" w:hAnsi="Times New Roman" w:cs="Times New Roman"/>
          <w:b/>
          <w:sz w:val="20"/>
          <w:szCs w:val="20"/>
          <w:lang w:eastAsia="it-IT"/>
        </w:rPr>
      </w:pPr>
      <w:r w:rsidRPr="00686045">
        <w:rPr>
          <w:rFonts w:ascii="Times New Roman" w:eastAsia="Times New Roman" w:hAnsi="Times New Roman" w:cs="Times New Roman"/>
          <w:b/>
          <w:i/>
          <w:sz w:val="20"/>
          <w:szCs w:val="20"/>
          <w:lang w:eastAsia="it-IT"/>
        </w:rPr>
        <w:t>OBIETTIVO DEL CORSO E RISULTATI DI APPRENDIMENTO ATTESI</w:t>
      </w:r>
    </w:p>
    <w:p w14:paraId="79A340A8" w14:textId="06F4788D" w:rsidR="0014329D" w:rsidRPr="00686045" w:rsidRDefault="006A0836" w:rsidP="0014329D">
      <w:pPr>
        <w:tabs>
          <w:tab w:val="left" w:pos="284"/>
        </w:tabs>
        <w:spacing w:after="0" w:line="240" w:lineRule="exact"/>
        <w:jc w:val="both"/>
        <w:rPr>
          <w:rFonts w:ascii="Times New Roman" w:eastAsia="Times New Roman" w:hAnsi="Times New Roman" w:cs="Times New Roman"/>
          <w:sz w:val="20"/>
          <w:szCs w:val="20"/>
          <w:lang w:eastAsia="it-IT"/>
        </w:rPr>
      </w:pPr>
      <w:r w:rsidRPr="00686045">
        <w:rPr>
          <w:rFonts w:ascii="Times New Roman" w:eastAsia="Times New Roman" w:hAnsi="Times New Roman" w:cs="Times New Roman"/>
          <w:sz w:val="20"/>
          <w:szCs w:val="20"/>
          <w:lang w:eastAsia="it-IT"/>
        </w:rPr>
        <w:t xml:space="preserve">L’insegnamento si propone di fornire agli studenti </w:t>
      </w:r>
      <w:r w:rsidR="007B5B8B" w:rsidRPr="00686045">
        <w:rPr>
          <w:rFonts w:ascii="Times New Roman" w:eastAsia="Times New Roman" w:hAnsi="Times New Roman" w:cs="Times New Roman"/>
          <w:sz w:val="20"/>
          <w:szCs w:val="20"/>
          <w:lang w:eastAsia="it-IT"/>
        </w:rPr>
        <w:t xml:space="preserve">un inquadramento completo dei temi legati alla sostenibilità in relazione alle decisioni aziendali e al cambiamento dei modelli di business con un’attenzione specifica alle politiche, soprattutto Europee, che stanno progressivamente delineando il percorso di transizione sostenibile. </w:t>
      </w:r>
      <w:r w:rsidRPr="00686045">
        <w:rPr>
          <w:rFonts w:ascii="Times New Roman" w:eastAsia="Times New Roman" w:hAnsi="Times New Roman" w:cs="Times New Roman"/>
          <w:sz w:val="20"/>
          <w:szCs w:val="20"/>
          <w:lang w:eastAsia="it-IT"/>
        </w:rPr>
        <w:t>L’insegnamento è composto di due parti</w:t>
      </w:r>
      <w:r w:rsidR="0014329D" w:rsidRPr="00686045">
        <w:rPr>
          <w:rFonts w:ascii="Times New Roman" w:eastAsia="Times New Roman" w:hAnsi="Times New Roman" w:cs="Times New Roman"/>
          <w:sz w:val="20"/>
          <w:szCs w:val="20"/>
          <w:lang w:eastAsia="it-IT"/>
        </w:rPr>
        <w:t>.</w:t>
      </w:r>
    </w:p>
    <w:p w14:paraId="16E38157" w14:textId="7AD2099E" w:rsidR="0014329D" w:rsidRPr="00686045" w:rsidRDefault="0014329D" w:rsidP="0014329D">
      <w:pPr>
        <w:tabs>
          <w:tab w:val="left" w:pos="284"/>
        </w:tabs>
        <w:spacing w:after="0" w:line="240" w:lineRule="exact"/>
        <w:jc w:val="both"/>
        <w:rPr>
          <w:rFonts w:ascii="Times New Roman" w:eastAsia="Times New Roman" w:hAnsi="Times New Roman" w:cs="Times New Roman"/>
          <w:sz w:val="20"/>
          <w:szCs w:val="20"/>
          <w:lang w:eastAsia="it-IT"/>
        </w:rPr>
      </w:pPr>
      <w:r w:rsidRPr="00686045">
        <w:rPr>
          <w:rFonts w:ascii="Times New Roman" w:eastAsia="Times New Roman" w:hAnsi="Times New Roman" w:cs="Times New Roman"/>
          <w:sz w:val="20"/>
          <w:szCs w:val="20"/>
          <w:lang w:eastAsia="it-IT"/>
        </w:rPr>
        <w:t>Nel primo modulo del corso si parte dall’approccio degli Obiettivi di sviluppo Sostenibile dell’Agenda ONU 2030 (SDGs) per rappresentare l’evoluzione del quadro europeo che sta portando dal Green Deal Europeo all’Action Plan per la Finanza Sostenibile al recente quadro di interventi in ambito di standard di produzione, reporting, regolamentazione finanziaria e tassonomia delle attività economiche sostenibili. In seguito, si focalizza l’attenzione sulle politiche economiche implementate a livello europeo in risposta ai grandi eventi avversi degli ultimi quindici anni, dalla crisi finanziaria del 2008 alla crisi pandemica ed alla guerra. Oltre a focalizzare l’attenzione sulle politiche adottate si ricostruirà il razionale economico che le ha ispirate nel quadro complessivo della costruzione dell’Unione Europea.</w:t>
      </w:r>
    </w:p>
    <w:p w14:paraId="32FD1968" w14:textId="3366C912" w:rsidR="006A0836" w:rsidRPr="00686045" w:rsidRDefault="0014329D" w:rsidP="00F408F2">
      <w:pPr>
        <w:tabs>
          <w:tab w:val="left" w:pos="284"/>
        </w:tabs>
        <w:spacing w:after="0" w:line="240" w:lineRule="exact"/>
        <w:jc w:val="both"/>
        <w:rPr>
          <w:rFonts w:ascii="Times New Roman" w:eastAsia="Times New Roman" w:hAnsi="Times New Roman" w:cs="Times New Roman"/>
          <w:sz w:val="20"/>
          <w:szCs w:val="20"/>
          <w:lang w:eastAsia="it-IT"/>
        </w:rPr>
      </w:pPr>
      <w:r w:rsidRPr="00686045">
        <w:rPr>
          <w:rFonts w:ascii="Times New Roman" w:eastAsia="Times New Roman" w:hAnsi="Times New Roman" w:cs="Times New Roman"/>
          <w:sz w:val="20"/>
          <w:szCs w:val="20"/>
          <w:lang w:eastAsia="it-IT"/>
        </w:rPr>
        <w:t xml:space="preserve">Nel secondo modulo </w:t>
      </w:r>
      <w:r w:rsidR="005D1EEE">
        <w:rPr>
          <w:rFonts w:ascii="Times New Roman" w:eastAsia="Times New Roman" w:hAnsi="Times New Roman" w:cs="Times New Roman"/>
          <w:sz w:val="20"/>
          <w:szCs w:val="20"/>
          <w:lang w:eastAsia="it-IT"/>
        </w:rPr>
        <w:t xml:space="preserve">ci </w:t>
      </w:r>
      <w:r w:rsidR="00DD4B90" w:rsidRPr="00686045">
        <w:rPr>
          <w:rFonts w:ascii="Times New Roman" w:eastAsia="Times New Roman" w:hAnsi="Times New Roman" w:cs="Times New Roman"/>
          <w:sz w:val="20"/>
          <w:szCs w:val="20"/>
          <w:lang w:eastAsia="it-IT"/>
        </w:rPr>
        <w:t xml:space="preserve">si concentra sul ruolo dell’economia circolare, </w:t>
      </w:r>
      <w:r w:rsidR="005833F2" w:rsidRPr="00686045">
        <w:rPr>
          <w:rFonts w:ascii="Times New Roman" w:eastAsia="Times New Roman" w:hAnsi="Times New Roman" w:cs="Times New Roman"/>
          <w:sz w:val="20"/>
          <w:szCs w:val="20"/>
          <w:lang w:eastAsia="it-IT"/>
        </w:rPr>
        <w:t xml:space="preserve">fornendo dapprima gli elementi concettuali per comprendere gli ambiti di applicazione della </w:t>
      </w:r>
      <w:r w:rsidR="005833F2" w:rsidRPr="00686045">
        <w:rPr>
          <w:rFonts w:ascii="Times New Roman" w:eastAsia="Times New Roman" w:hAnsi="Times New Roman" w:cs="Times New Roman"/>
          <w:i/>
          <w:iCs/>
          <w:sz w:val="20"/>
          <w:szCs w:val="20"/>
          <w:lang w:eastAsia="it-IT"/>
        </w:rPr>
        <w:t>circular economy</w:t>
      </w:r>
      <w:r w:rsidR="005833F2" w:rsidRPr="00686045">
        <w:rPr>
          <w:rFonts w:ascii="Times New Roman" w:eastAsia="Times New Roman" w:hAnsi="Times New Roman" w:cs="Times New Roman"/>
          <w:sz w:val="20"/>
          <w:szCs w:val="20"/>
          <w:lang w:eastAsia="it-IT"/>
        </w:rPr>
        <w:t xml:space="preserve">, anche in relazione alla </w:t>
      </w:r>
      <w:r w:rsidR="005833F2" w:rsidRPr="00686045">
        <w:rPr>
          <w:rFonts w:ascii="Times New Roman" w:eastAsia="Times New Roman" w:hAnsi="Times New Roman" w:cs="Times New Roman"/>
          <w:i/>
          <w:iCs/>
          <w:sz w:val="20"/>
          <w:szCs w:val="20"/>
          <w:lang w:eastAsia="it-IT"/>
        </w:rPr>
        <w:t>green economy</w:t>
      </w:r>
      <w:r w:rsidR="005833F2" w:rsidRPr="00686045">
        <w:rPr>
          <w:rFonts w:ascii="Times New Roman" w:eastAsia="Times New Roman" w:hAnsi="Times New Roman" w:cs="Times New Roman"/>
          <w:sz w:val="20"/>
          <w:szCs w:val="20"/>
          <w:lang w:eastAsia="it-IT"/>
        </w:rPr>
        <w:t xml:space="preserve"> e alla </w:t>
      </w:r>
      <w:r w:rsidR="005833F2" w:rsidRPr="00686045">
        <w:rPr>
          <w:rFonts w:ascii="Times New Roman" w:eastAsia="Times New Roman" w:hAnsi="Times New Roman" w:cs="Times New Roman"/>
          <w:i/>
          <w:iCs/>
          <w:sz w:val="20"/>
          <w:szCs w:val="20"/>
          <w:lang w:eastAsia="it-IT"/>
        </w:rPr>
        <w:t>bioeconomy</w:t>
      </w:r>
      <w:r w:rsidR="005833F2" w:rsidRPr="00686045">
        <w:rPr>
          <w:rFonts w:ascii="Times New Roman" w:eastAsia="Times New Roman" w:hAnsi="Times New Roman" w:cs="Times New Roman"/>
          <w:sz w:val="20"/>
          <w:szCs w:val="20"/>
          <w:lang w:eastAsia="it-IT"/>
        </w:rPr>
        <w:t>, per poi approfondire gli strumenti di misurazione a livello aziendale e settoriale</w:t>
      </w:r>
      <w:r w:rsidR="00F408F2" w:rsidRPr="00686045">
        <w:rPr>
          <w:rFonts w:ascii="Times New Roman" w:eastAsia="Times New Roman" w:hAnsi="Times New Roman" w:cs="Times New Roman"/>
          <w:sz w:val="20"/>
          <w:szCs w:val="20"/>
          <w:lang w:eastAsia="it-IT"/>
        </w:rPr>
        <w:t xml:space="preserve">. La parte prevede anche un focus sull’innovazione circolare, con un’analisi delle evidenze empiriche sulle sue determinanti e gli effetti economici. </w:t>
      </w:r>
    </w:p>
    <w:p w14:paraId="6C0ACF73" w14:textId="5EE46355" w:rsidR="00F408F2" w:rsidRPr="00686045" w:rsidRDefault="006A0836" w:rsidP="006A0836">
      <w:pPr>
        <w:tabs>
          <w:tab w:val="left" w:pos="284"/>
        </w:tabs>
        <w:spacing w:after="0" w:line="240" w:lineRule="exact"/>
        <w:jc w:val="both"/>
        <w:rPr>
          <w:rFonts w:ascii="Times New Roman" w:eastAsia="Times New Roman" w:hAnsi="Times New Roman" w:cs="Times New Roman"/>
          <w:sz w:val="20"/>
          <w:szCs w:val="20"/>
          <w:lang w:eastAsia="it-IT"/>
        </w:rPr>
      </w:pPr>
      <w:r w:rsidRPr="00686045">
        <w:rPr>
          <w:rFonts w:ascii="Times New Roman" w:eastAsia="Times New Roman" w:hAnsi="Times New Roman" w:cs="Times New Roman"/>
          <w:sz w:val="20"/>
          <w:szCs w:val="20"/>
          <w:lang w:eastAsia="it-IT"/>
        </w:rPr>
        <w:t xml:space="preserve">Al termine dell’insegnamento lo studente avrà maturato la capacità di </w:t>
      </w:r>
      <w:r w:rsidR="00F408F2" w:rsidRPr="00686045">
        <w:rPr>
          <w:rFonts w:ascii="Times New Roman" w:eastAsia="Times New Roman" w:hAnsi="Times New Roman" w:cs="Times New Roman"/>
          <w:sz w:val="20"/>
          <w:szCs w:val="20"/>
          <w:lang w:eastAsia="it-IT"/>
        </w:rPr>
        <w:t xml:space="preserve">comprendere l’attuale evoluzione del contesto normativo sui temi legati alla sostenibilità e le possibili ricadute sulle scelte strategiche aziendali. Sarà inoltre in grado di analizzare la sostenibilità dei modelli di business sotto il profilo della circolarità, di individuare i potenziali spazi di trasformazione circolare e di comprenderne i benefici per il business. </w:t>
      </w:r>
    </w:p>
    <w:p w14:paraId="38C751EF" w14:textId="64578611" w:rsidR="006A0836" w:rsidRPr="00686045" w:rsidRDefault="006A0836" w:rsidP="006A0836">
      <w:pPr>
        <w:tabs>
          <w:tab w:val="left" w:pos="284"/>
        </w:tabs>
        <w:spacing w:after="0" w:line="240" w:lineRule="exact"/>
        <w:jc w:val="both"/>
        <w:rPr>
          <w:rFonts w:ascii="Times New Roman" w:eastAsia="Times New Roman" w:hAnsi="Times New Roman" w:cs="Times New Roman"/>
          <w:sz w:val="20"/>
          <w:szCs w:val="20"/>
          <w:lang w:eastAsia="it-IT"/>
        </w:rPr>
      </w:pPr>
      <w:r w:rsidRPr="00686045">
        <w:rPr>
          <w:rFonts w:ascii="Times New Roman" w:eastAsia="Times New Roman" w:hAnsi="Times New Roman" w:cs="Times New Roman"/>
          <w:sz w:val="20"/>
          <w:szCs w:val="20"/>
          <w:lang w:eastAsia="it-IT"/>
        </w:rPr>
        <w:t>L’alternanza di nozioni teoriche a</w:t>
      </w:r>
      <w:r w:rsidR="00F408F2" w:rsidRPr="00686045">
        <w:rPr>
          <w:rFonts w:ascii="Times New Roman" w:eastAsia="Times New Roman" w:hAnsi="Times New Roman" w:cs="Times New Roman"/>
          <w:sz w:val="20"/>
          <w:szCs w:val="20"/>
          <w:lang w:eastAsia="it-IT"/>
        </w:rPr>
        <w:t xml:space="preserve">d applicazioni empiriche e </w:t>
      </w:r>
      <w:r w:rsidRPr="00686045">
        <w:rPr>
          <w:rFonts w:ascii="Times New Roman" w:eastAsia="Times New Roman" w:hAnsi="Times New Roman" w:cs="Times New Roman"/>
          <w:sz w:val="20"/>
          <w:szCs w:val="20"/>
          <w:lang w:eastAsia="it-IT"/>
        </w:rPr>
        <w:t>casi studio durante le lezioni permetterà allo studente di sviluppare la capacità di applicare autonomamente i concetti appresi allo studio di casi specifici.</w:t>
      </w:r>
    </w:p>
    <w:p w14:paraId="5785FB6B" w14:textId="77777777" w:rsidR="000C5079" w:rsidRPr="000C5079" w:rsidRDefault="000C5079" w:rsidP="000C5079">
      <w:pPr>
        <w:tabs>
          <w:tab w:val="left" w:pos="284"/>
        </w:tabs>
        <w:spacing w:after="120" w:line="240" w:lineRule="exact"/>
        <w:jc w:val="both"/>
        <w:rPr>
          <w:rFonts w:ascii="Times New Roman" w:eastAsia="Times New Roman" w:hAnsi="Times New Roman" w:cs="Times New Roman"/>
          <w:i/>
          <w:sz w:val="20"/>
          <w:szCs w:val="20"/>
          <w:lang w:eastAsia="it-IT"/>
        </w:rPr>
      </w:pPr>
      <w:r w:rsidRPr="000C5079">
        <w:rPr>
          <w:rFonts w:ascii="Times New Roman" w:eastAsia="Times New Roman" w:hAnsi="Times New Roman" w:cs="Times New Roman"/>
          <w:i/>
          <w:sz w:val="20"/>
          <w:szCs w:val="20"/>
          <w:lang w:eastAsia="it-IT"/>
        </w:rPr>
        <w:t>Risultati di apprendimento attesi</w:t>
      </w:r>
    </w:p>
    <w:p w14:paraId="4A0B1C93" w14:textId="77777777" w:rsidR="000C5079" w:rsidRPr="000C5079" w:rsidRDefault="000C5079" w:rsidP="000C5079">
      <w:pPr>
        <w:autoSpaceDE w:val="0"/>
        <w:autoSpaceDN w:val="0"/>
        <w:adjustRightInd w:val="0"/>
        <w:spacing w:after="120" w:line="240" w:lineRule="auto"/>
        <w:jc w:val="both"/>
        <w:rPr>
          <w:rFonts w:ascii="Times New Roman" w:eastAsia="Times New Roman" w:hAnsi="Times New Roman" w:cs="Times New Roman"/>
          <w:i/>
          <w:sz w:val="20"/>
          <w:szCs w:val="20"/>
          <w:lang w:eastAsia="it-IT"/>
        </w:rPr>
      </w:pPr>
      <w:r w:rsidRPr="000C5079">
        <w:rPr>
          <w:rFonts w:ascii="Times New Roman" w:eastAsia="Times New Roman" w:hAnsi="Times New Roman" w:cs="Times New Roman"/>
          <w:i/>
          <w:sz w:val="20"/>
          <w:szCs w:val="20"/>
          <w:lang w:eastAsia="it-IT"/>
        </w:rPr>
        <w:t>Conoscenza e comprensione</w:t>
      </w:r>
    </w:p>
    <w:p w14:paraId="2754120A" w14:textId="77777777" w:rsidR="000C5079" w:rsidRPr="000C5079" w:rsidRDefault="000C5079" w:rsidP="000C5079">
      <w:pPr>
        <w:autoSpaceDE w:val="0"/>
        <w:autoSpaceDN w:val="0"/>
        <w:adjustRightInd w:val="0"/>
        <w:spacing w:after="120" w:line="240" w:lineRule="auto"/>
        <w:jc w:val="both"/>
        <w:rPr>
          <w:rFonts w:ascii="Times New Roman" w:eastAsia="Times New Roman" w:hAnsi="Times New Roman" w:cs="Times New Roman"/>
          <w:sz w:val="20"/>
          <w:szCs w:val="20"/>
          <w:lang w:eastAsia="it-IT"/>
        </w:rPr>
      </w:pPr>
      <w:r w:rsidRPr="000C5079">
        <w:rPr>
          <w:rFonts w:ascii="Times New Roman" w:eastAsia="Times New Roman" w:hAnsi="Times New Roman" w:cs="Times New Roman"/>
          <w:sz w:val="20"/>
          <w:szCs w:val="20"/>
          <w:lang w:eastAsia="it-IT"/>
        </w:rPr>
        <w:t>Al termine dell’insegnamento lo studente sarà in grado di:</w:t>
      </w:r>
    </w:p>
    <w:p w14:paraId="5F44CCEB" w14:textId="77777777" w:rsidR="000C5079" w:rsidRPr="000C5079" w:rsidRDefault="000C5079" w:rsidP="000C5079">
      <w:pPr>
        <w:numPr>
          <w:ilvl w:val="0"/>
          <w:numId w:val="3"/>
        </w:numPr>
        <w:tabs>
          <w:tab w:val="left" w:pos="284"/>
        </w:tabs>
        <w:spacing w:after="120" w:line="240" w:lineRule="exact"/>
        <w:ind w:left="714" w:hanging="357"/>
        <w:jc w:val="both"/>
        <w:rPr>
          <w:rFonts w:ascii="Times New Roman" w:eastAsia="Times New Roman" w:hAnsi="Times New Roman" w:cs="Times New Roman"/>
          <w:sz w:val="20"/>
          <w:szCs w:val="20"/>
          <w:lang w:eastAsia="it-IT"/>
        </w:rPr>
      </w:pPr>
      <w:r w:rsidRPr="000C5079">
        <w:rPr>
          <w:rFonts w:ascii="Times New Roman" w:eastAsia="Times New Roman" w:hAnsi="Times New Roman" w:cs="Times New Roman"/>
          <w:sz w:val="20"/>
          <w:szCs w:val="20"/>
          <w:lang w:eastAsia="it-IT"/>
        </w:rPr>
        <w:lastRenderedPageBreak/>
        <w:t>Comprendere le motivazioni teoriche che motivano le politiche europee (obiettivo 1);</w:t>
      </w:r>
    </w:p>
    <w:p w14:paraId="6D76318E" w14:textId="77777777" w:rsidR="000C5079" w:rsidRPr="000C5079" w:rsidRDefault="000C5079" w:rsidP="000C5079">
      <w:pPr>
        <w:numPr>
          <w:ilvl w:val="0"/>
          <w:numId w:val="3"/>
        </w:numPr>
        <w:tabs>
          <w:tab w:val="left" w:pos="284"/>
        </w:tabs>
        <w:spacing w:after="120" w:line="240" w:lineRule="exact"/>
        <w:ind w:left="714" w:hanging="357"/>
        <w:jc w:val="both"/>
        <w:rPr>
          <w:rFonts w:ascii="Times New Roman" w:eastAsia="Times New Roman" w:hAnsi="Times New Roman" w:cs="Times New Roman"/>
          <w:sz w:val="20"/>
          <w:szCs w:val="20"/>
          <w:lang w:eastAsia="it-IT"/>
        </w:rPr>
      </w:pPr>
      <w:r w:rsidRPr="000C5079">
        <w:rPr>
          <w:rFonts w:ascii="Times New Roman" w:eastAsia="Times New Roman" w:hAnsi="Times New Roman" w:cs="Times New Roman"/>
          <w:sz w:val="20"/>
          <w:szCs w:val="20"/>
          <w:lang w:eastAsia="it-IT"/>
        </w:rPr>
        <w:t>Comprendere l’approccio basato sul concetto di sostenibilità (nel senso degli SDGs) nelle politiche economiche (obiettivo 2);</w:t>
      </w:r>
    </w:p>
    <w:p w14:paraId="6A57FAC9" w14:textId="0B8195B0" w:rsidR="000C5079" w:rsidRPr="000C5079" w:rsidRDefault="000C5079" w:rsidP="000C5079">
      <w:pPr>
        <w:numPr>
          <w:ilvl w:val="0"/>
          <w:numId w:val="3"/>
        </w:numPr>
        <w:tabs>
          <w:tab w:val="left" w:pos="284"/>
        </w:tabs>
        <w:spacing w:after="120" w:line="240" w:lineRule="exact"/>
        <w:ind w:left="714" w:hanging="357"/>
        <w:jc w:val="both"/>
        <w:rPr>
          <w:rFonts w:ascii="Times New Roman" w:eastAsia="Times New Roman" w:hAnsi="Times New Roman" w:cs="Times New Roman"/>
          <w:sz w:val="20"/>
          <w:szCs w:val="20"/>
          <w:lang w:eastAsia="it-IT"/>
        </w:rPr>
      </w:pPr>
      <w:r w:rsidRPr="000C5079">
        <w:rPr>
          <w:rFonts w:ascii="Times New Roman" w:eastAsia="Times New Roman" w:hAnsi="Times New Roman" w:cs="Times New Roman"/>
          <w:sz w:val="20"/>
          <w:szCs w:val="20"/>
          <w:lang w:eastAsia="it-IT"/>
        </w:rPr>
        <w:t xml:space="preserve">Conoscere </w:t>
      </w:r>
      <w:r w:rsidRPr="00686045">
        <w:rPr>
          <w:rFonts w:ascii="Times New Roman" w:eastAsia="Times New Roman" w:hAnsi="Times New Roman" w:cs="Times New Roman"/>
          <w:sz w:val="20"/>
          <w:szCs w:val="20"/>
          <w:lang w:eastAsia="it-IT"/>
        </w:rPr>
        <w:t>i concetti di base dei modelli di economia circolare</w:t>
      </w:r>
      <w:r w:rsidRPr="000C5079">
        <w:rPr>
          <w:rFonts w:ascii="Times New Roman" w:eastAsia="Times New Roman" w:hAnsi="Times New Roman" w:cs="Times New Roman"/>
          <w:sz w:val="20"/>
          <w:szCs w:val="20"/>
          <w:lang w:eastAsia="it-IT"/>
        </w:rPr>
        <w:t xml:space="preserve"> (obiettivo 3);</w:t>
      </w:r>
    </w:p>
    <w:p w14:paraId="4C3CE7EE" w14:textId="0B71C0F4" w:rsidR="000C5079" w:rsidRPr="000C5079" w:rsidRDefault="000C5079" w:rsidP="000C5079">
      <w:pPr>
        <w:numPr>
          <w:ilvl w:val="0"/>
          <w:numId w:val="3"/>
        </w:numPr>
        <w:tabs>
          <w:tab w:val="left" w:pos="284"/>
        </w:tabs>
        <w:spacing w:after="120" w:line="240" w:lineRule="exact"/>
        <w:ind w:left="714" w:hanging="357"/>
        <w:jc w:val="both"/>
        <w:rPr>
          <w:rFonts w:ascii="Times New Roman" w:eastAsia="Times New Roman" w:hAnsi="Times New Roman" w:cs="Times New Roman"/>
          <w:sz w:val="20"/>
          <w:szCs w:val="20"/>
          <w:lang w:eastAsia="it-IT"/>
        </w:rPr>
      </w:pPr>
      <w:r w:rsidRPr="000C5079">
        <w:rPr>
          <w:rFonts w:ascii="Times New Roman" w:eastAsia="Times New Roman" w:hAnsi="Times New Roman" w:cs="Times New Roman"/>
          <w:sz w:val="20"/>
          <w:szCs w:val="20"/>
          <w:lang w:eastAsia="it-IT"/>
        </w:rPr>
        <w:t xml:space="preserve">Implementare un’analisi approfondita </w:t>
      </w:r>
      <w:r w:rsidRPr="00686045">
        <w:rPr>
          <w:rFonts w:ascii="Times New Roman" w:eastAsia="Times New Roman" w:hAnsi="Times New Roman" w:cs="Times New Roman"/>
          <w:sz w:val="20"/>
          <w:szCs w:val="20"/>
          <w:lang w:eastAsia="it-IT"/>
        </w:rPr>
        <w:t>sugli impatti dei modelli di economia circolare</w:t>
      </w:r>
      <w:r w:rsidRPr="000C5079">
        <w:rPr>
          <w:rFonts w:ascii="Times New Roman" w:eastAsia="Times New Roman" w:hAnsi="Times New Roman" w:cs="Times New Roman"/>
          <w:sz w:val="20"/>
          <w:szCs w:val="20"/>
          <w:lang w:eastAsia="it-IT"/>
        </w:rPr>
        <w:t xml:space="preserve"> (obiettivo 4);</w:t>
      </w:r>
    </w:p>
    <w:p w14:paraId="579A796A" w14:textId="77777777" w:rsidR="000C5079" w:rsidRPr="000C5079" w:rsidRDefault="000C5079" w:rsidP="000C5079">
      <w:pPr>
        <w:tabs>
          <w:tab w:val="left" w:pos="284"/>
        </w:tabs>
        <w:spacing w:after="120" w:line="240" w:lineRule="exact"/>
        <w:jc w:val="both"/>
        <w:rPr>
          <w:rFonts w:ascii="Times New Roman" w:eastAsia="Times New Roman" w:hAnsi="Times New Roman" w:cs="Times New Roman"/>
          <w:i/>
          <w:sz w:val="20"/>
          <w:szCs w:val="20"/>
          <w:lang w:eastAsia="it-IT"/>
        </w:rPr>
      </w:pPr>
      <w:r w:rsidRPr="000C5079">
        <w:rPr>
          <w:rFonts w:ascii="Times New Roman" w:eastAsia="Times New Roman" w:hAnsi="Times New Roman" w:cs="Times New Roman"/>
          <w:i/>
          <w:sz w:val="20"/>
          <w:szCs w:val="20"/>
          <w:lang w:eastAsia="it-IT"/>
        </w:rPr>
        <w:t>Capacità di applicare conoscenza e comprensione</w:t>
      </w:r>
    </w:p>
    <w:p w14:paraId="5C30BD2F" w14:textId="7AB633AC" w:rsidR="000C5079" w:rsidRPr="000C5079" w:rsidRDefault="000C5079" w:rsidP="000C5079">
      <w:pPr>
        <w:numPr>
          <w:ilvl w:val="0"/>
          <w:numId w:val="3"/>
        </w:numPr>
        <w:tabs>
          <w:tab w:val="left" w:pos="284"/>
        </w:tabs>
        <w:spacing w:after="120" w:line="240" w:lineRule="exact"/>
        <w:ind w:left="714" w:hanging="357"/>
        <w:jc w:val="both"/>
        <w:rPr>
          <w:rFonts w:ascii="Times New Roman" w:eastAsia="Times New Roman" w:hAnsi="Times New Roman" w:cs="Times New Roman"/>
          <w:sz w:val="20"/>
          <w:szCs w:val="20"/>
          <w:lang w:eastAsia="it-IT"/>
        </w:rPr>
      </w:pPr>
      <w:r w:rsidRPr="000C5079">
        <w:rPr>
          <w:rFonts w:ascii="Times New Roman" w:eastAsia="Times New Roman" w:hAnsi="Times New Roman" w:cs="Times New Roman"/>
          <w:sz w:val="20"/>
          <w:szCs w:val="20"/>
          <w:lang w:eastAsia="it-IT"/>
        </w:rPr>
        <w:t>Capacità di sviluppare competenze applicate sui</w:t>
      </w:r>
      <w:r w:rsidRPr="00686045">
        <w:rPr>
          <w:rFonts w:ascii="Times New Roman" w:eastAsia="Times New Roman" w:hAnsi="Times New Roman" w:cs="Times New Roman"/>
          <w:sz w:val="20"/>
          <w:szCs w:val="20"/>
          <w:lang w:eastAsia="it-IT"/>
        </w:rPr>
        <w:t xml:space="preserve"> programmi europei</w:t>
      </w:r>
      <w:r w:rsidRPr="000C5079">
        <w:rPr>
          <w:rFonts w:ascii="Times New Roman" w:eastAsia="Times New Roman" w:hAnsi="Times New Roman" w:cs="Times New Roman"/>
          <w:sz w:val="20"/>
          <w:szCs w:val="20"/>
          <w:lang w:eastAsia="it-IT"/>
        </w:rPr>
        <w:t xml:space="preserve"> (obiettivo 5);</w:t>
      </w:r>
    </w:p>
    <w:p w14:paraId="54D6A092" w14:textId="77777777" w:rsidR="000C5079" w:rsidRPr="000C5079" w:rsidRDefault="000C5079" w:rsidP="000C5079">
      <w:pPr>
        <w:numPr>
          <w:ilvl w:val="0"/>
          <w:numId w:val="3"/>
        </w:numPr>
        <w:tabs>
          <w:tab w:val="left" w:pos="284"/>
        </w:tabs>
        <w:spacing w:after="120" w:line="240" w:lineRule="exact"/>
        <w:ind w:left="714" w:hanging="357"/>
        <w:jc w:val="both"/>
        <w:rPr>
          <w:rFonts w:ascii="Times New Roman" w:eastAsia="Times New Roman" w:hAnsi="Times New Roman" w:cs="Times New Roman"/>
          <w:sz w:val="20"/>
          <w:szCs w:val="20"/>
          <w:lang w:eastAsia="it-IT"/>
        </w:rPr>
      </w:pPr>
      <w:r w:rsidRPr="000C5079">
        <w:rPr>
          <w:rFonts w:ascii="Times New Roman" w:eastAsia="Times New Roman" w:hAnsi="Times New Roman" w:cs="Times New Roman"/>
          <w:sz w:val="20"/>
          <w:szCs w:val="20"/>
          <w:lang w:eastAsia="it-IT"/>
        </w:rPr>
        <w:t>Proporre modifiche di progettazione nelle politiche economiche, in particolare quelle destinate alle imprese (obiettivo 6);</w:t>
      </w:r>
    </w:p>
    <w:p w14:paraId="48DADB7A" w14:textId="708F9436" w:rsidR="000C5079" w:rsidRPr="000C5079" w:rsidRDefault="000C5079" w:rsidP="000C5079">
      <w:pPr>
        <w:numPr>
          <w:ilvl w:val="0"/>
          <w:numId w:val="3"/>
        </w:numPr>
        <w:tabs>
          <w:tab w:val="left" w:pos="284"/>
        </w:tabs>
        <w:spacing w:after="120" w:line="240" w:lineRule="exact"/>
        <w:ind w:left="714" w:hanging="357"/>
        <w:jc w:val="both"/>
        <w:rPr>
          <w:rFonts w:ascii="Times New Roman" w:eastAsia="Times New Roman" w:hAnsi="Times New Roman" w:cs="Times New Roman"/>
          <w:sz w:val="20"/>
          <w:szCs w:val="20"/>
          <w:lang w:eastAsia="it-IT"/>
        </w:rPr>
      </w:pPr>
      <w:r w:rsidRPr="00686045">
        <w:rPr>
          <w:rFonts w:ascii="Times New Roman" w:eastAsia="Times New Roman" w:hAnsi="Times New Roman" w:cs="Times New Roman"/>
          <w:sz w:val="20"/>
          <w:szCs w:val="20"/>
          <w:lang w:eastAsia="it-IT"/>
        </w:rPr>
        <w:t>Capacità di misurare l’economia circolare</w:t>
      </w:r>
      <w:r w:rsidRPr="000C5079">
        <w:rPr>
          <w:rFonts w:ascii="Times New Roman" w:eastAsia="Times New Roman" w:hAnsi="Times New Roman" w:cs="Times New Roman"/>
          <w:sz w:val="20"/>
          <w:szCs w:val="20"/>
          <w:lang w:eastAsia="it-IT"/>
        </w:rPr>
        <w:t xml:space="preserve"> (obiettivo 7); </w:t>
      </w:r>
    </w:p>
    <w:p w14:paraId="0F22BA61" w14:textId="758299A6" w:rsidR="000C5079" w:rsidRPr="000C5079" w:rsidRDefault="000C5079" w:rsidP="000C5079">
      <w:pPr>
        <w:numPr>
          <w:ilvl w:val="0"/>
          <w:numId w:val="3"/>
        </w:numPr>
        <w:tabs>
          <w:tab w:val="left" w:pos="284"/>
        </w:tabs>
        <w:spacing w:after="120" w:line="240" w:lineRule="exact"/>
        <w:ind w:left="714" w:hanging="357"/>
        <w:jc w:val="both"/>
        <w:rPr>
          <w:rFonts w:ascii="Times New Roman" w:eastAsia="Times New Roman" w:hAnsi="Times New Roman" w:cs="Times New Roman"/>
          <w:sz w:val="20"/>
          <w:szCs w:val="20"/>
          <w:lang w:eastAsia="it-IT"/>
        </w:rPr>
      </w:pPr>
      <w:r w:rsidRPr="00686045">
        <w:rPr>
          <w:rFonts w:ascii="Times New Roman" w:eastAsia="Times New Roman" w:hAnsi="Times New Roman" w:cs="Times New Roman"/>
          <w:sz w:val="20"/>
          <w:szCs w:val="20"/>
          <w:lang w:eastAsia="it-IT"/>
        </w:rPr>
        <w:t>Capacità di mettere in relazione operativa i modelli di economia circolare con l’innovazione nelle imprese</w:t>
      </w:r>
      <w:r w:rsidRPr="000C5079">
        <w:rPr>
          <w:rFonts w:ascii="Times New Roman" w:eastAsia="Times New Roman" w:hAnsi="Times New Roman" w:cs="Times New Roman"/>
          <w:sz w:val="20"/>
          <w:szCs w:val="20"/>
          <w:lang w:eastAsia="it-IT"/>
        </w:rPr>
        <w:t xml:space="preserve"> (obiettivo 8).</w:t>
      </w:r>
    </w:p>
    <w:p w14:paraId="4254D3A9" w14:textId="77777777" w:rsidR="000C5079" w:rsidRPr="000C5079" w:rsidRDefault="000C5079" w:rsidP="000C5079">
      <w:pPr>
        <w:tabs>
          <w:tab w:val="left" w:pos="284"/>
        </w:tabs>
        <w:spacing w:after="120" w:line="240" w:lineRule="exact"/>
        <w:jc w:val="both"/>
        <w:rPr>
          <w:rFonts w:ascii="Times New Roman" w:eastAsia="Times New Roman" w:hAnsi="Times New Roman" w:cs="Times New Roman"/>
          <w:sz w:val="20"/>
          <w:szCs w:val="20"/>
          <w:lang w:eastAsia="it-IT"/>
        </w:rPr>
      </w:pPr>
      <w:r w:rsidRPr="000C5079">
        <w:rPr>
          <w:rFonts w:ascii="Times New Roman" w:eastAsia="Times New Roman" w:hAnsi="Times New Roman" w:cs="Times New Roman"/>
          <w:sz w:val="20"/>
          <w:szCs w:val="20"/>
          <w:lang w:eastAsia="it-IT"/>
        </w:rPr>
        <w:t>Nell’ambito del corso si promuoverà la capacità dello studente di apprendere la struttura delle politiche e di valutarne l’impatto, puntando a promuovere una propria autonomia di giudizio e promuovendo in modo significativo la capacità di proporre modifiche di policy, anche alla luce della valutazione del mondo professionale. I metodi di valutazione sono costruiti allo scopo di stimolare abilità comunicative in particolare attraverso il percorso dell’Hackathon che mette in confronto gli studenti con il mondo professionale.</w:t>
      </w:r>
    </w:p>
    <w:p w14:paraId="0CBF2793" w14:textId="77777777" w:rsidR="000C5079" w:rsidRPr="00686045" w:rsidRDefault="000C5079" w:rsidP="006A0836">
      <w:pPr>
        <w:tabs>
          <w:tab w:val="left" w:pos="284"/>
        </w:tabs>
        <w:spacing w:after="0" w:line="240" w:lineRule="exact"/>
        <w:jc w:val="both"/>
        <w:rPr>
          <w:rFonts w:ascii="Times New Roman" w:eastAsia="Times New Roman" w:hAnsi="Times New Roman" w:cs="Times New Roman"/>
          <w:sz w:val="20"/>
          <w:szCs w:val="20"/>
          <w:lang w:eastAsia="it-IT"/>
        </w:rPr>
      </w:pPr>
    </w:p>
    <w:p w14:paraId="519F0E5F" w14:textId="77777777" w:rsidR="006A0836" w:rsidRPr="00686045" w:rsidRDefault="006A0836" w:rsidP="006A0836">
      <w:pPr>
        <w:tabs>
          <w:tab w:val="left" w:pos="284"/>
        </w:tabs>
        <w:spacing w:before="240" w:after="120" w:line="240" w:lineRule="exact"/>
        <w:jc w:val="both"/>
        <w:rPr>
          <w:rFonts w:ascii="Times New Roman" w:eastAsia="Times New Roman" w:hAnsi="Times New Roman" w:cs="Times New Roman"/>
          <w:b/>
          <w:sz w:val="20"/>
          <w:szCs w:val="20"/>
          <w:lang w:eastAsia="it-IT"/>
        </w:rPr>
      </w:pPr>
      <w:r w:rsidRPr="00686045">
        <w:rPr>
          <w:rFonts w:ascii="Times New Roman" w:eastAsia="Times New Roman" w:hAnsi="Times New Roman" w:cs="Times New Roman"/>
          <w:b/>
          <w:i/>
          <w:sz w:val="20"/>
          <w:szCs w:val="20"/>
          <w:lang w:eastAsia="it-IT"/>
        </w:rPr>
        <w:t>PROGRAMMA DEL CORSO</w:t>
      </w:r>
    </w:p>
    <w:p w14:paraId="5DF73677" w14:textId="77777777" w:rsidR="006A0836" w:rsidRPr="00686045" w:rsidRDefault="006A0836" w:rsidP="006A0836">
      <w:pPr>
        <w:tabs>
          <w:tab w:val="left" w:pos="284"/>
        </w:tabs>
        <w:spacing w:after="0" w:line="240" w:lineRule="exact"/>
        <w:jc w:val="both"/>
        <w:rPr>
          <w:rFonts w:ascii="Times New Roman" w:eastAsia="Times New Roman" w:hAnsi="Times New Roman" w:cs="Times New Roman"/>
          <w:sz w:val="20"/>
          <w:szCs w:val="20"/>
          <w:lang w:eastAsia="it-IT"/>
        </w:rPr>
      </w:pPr>
      <w:r w:rsidRPr="00686045">
        <w:rPr>
          <w:rFonts w:ascii="Times New Roman" w:eastAsia="Times New Roman" w:hAnsi="Times New Roman" w:cs="Times New Roman"/>
          <w:sz w:val="20"/>
          <w:szCs w:val="20"/>
          <w:lang w:eastAsia="it-IT"/>
        </w:rPr>
        <w:t>Presentazione del Corso</w:t>
      </w:r>
    </w:p>
    <w:p w14:paraId="0C07C3D7" w14:textId="77777777" w:rsidR="000C5079" w:rsidRPr="000C5079" w:rsidRDefault="000C5079" w:rsidP="000C5079">
      <w:pPr>
        <w:spacing w:before="120" w:after="0" w:line="240" w:lineRule="exact"/>
        <w:jc w:val="both"/>
        <w:rPr>
          <w:rFonts w:ascii="Times New Roman" w:eastAsia="Times New Roman" w:hAnsi="Times New Roman" w:cs="Times New Roman"/>
          <w:sz w:val="20"/>
          <w:szCs w:val="20"/>
          <w:lang w:eastAsia="it-IT"/>
        </w:rPr>
      </w:pPr>
      <w:r w:rsidRPr="000C5079">
        <w:rPr>
          <w:rFonts w:ascii="Times New Roman" w:eastAsia="Times New Roman" w:hAnsi="Times New Roman" w:cs="Times New Roman"/>
          <w:sz w:val="20"/>
          <w:szCs w:val="20"/>
          <w:lang w:eastAsia="it-IT"/>
        </w:rPr>
        <w:t xml:space="preserve">Modulo 1 - Politica economica europea per la sostenibilità </w:t>
      </w:r>
    </w:p>
    <w:p w14:paraId="20F0C295" w14:textId="77777777" w:rsidR="000C5079" w:rsidRPr="000C5079" w:rsidRDefault="000C5079" w:rsidP="000C5079">
      <w:pPr>
        <w:numPr>
          <w:ilvl w:val="1"/>
          <w:numId w:val="2"/>
        </w:numPr>
        <w:tabs>
          <w:tab w:val="left" w:pos="284"/>
        </w:tabs>
        <w:spacing w:before="120" w:after="0" w:line="240" w:lineRule="exact"/>
        <w:contextualSpacing/>
        <w:jc w:val="both"/>
        <w:rPr>
          <w:rFonts w:ascii="Times New Roman" w:eastAsia="Times" w:hAnsi="Times New Roman" w:cs="Times New Roman"/>
          <w:sz w:val="20"/>
          <w:szCs w:val="20"/>
          <w:lang w:eastAsia="it-IT"/>
        </w:rPr>
      </w:pPr>
      <w:r w:rsidRPr="000C5079">
        <w:rPr>
          <w:rFonts w:ascii="Times New Roman" w:eastAsia="Times New Roman" w:hAnsi="Times New Roman" w:cs="Times New Roman"/>
          <w:sz w:val="20"/>
          <w:szCs w:val="20"/>
          <w:lang w:eastAsia="it-IT"/>
        </w:rPr>
        <w:t>Fallimento del mercato e ragioni per la politica economica: la prospettiva europea</w:t>
      </w:r>
    </w:p>
    <w:p w14:paraId="4F659FCD" w14:textId="77777777" w:rsidR="000C5079" w:rsidRPr="000C5079" w:rsidRDefault="000C5079" w:rsidP="000C5079">
      <w:pPr>
        <w:numPr>
          <w:ilvl w:val="1"/>
          <w:numId w:val="2"/>
        </w:numPr>
        <w:tabs>
          <w:tab w:val="left" w:pos="284"/>
        </w:tabs>
        <w:spacing w:after="0" w:line="240" w:lineRule="exact"/>
        <w:contextualSpacing/>
        <w:jc w:val="both"/>
        <w:rPr>
          <w:rFonts w:ascii="Times New Roman" w:eastAsia="Times New Roman" w:hAnsi="Times New Roman" w:cs="Times New Roman"/>
          <w:sz w:val="20"/>
          <w:szCs w:val="20"/>
          <w:lang w:eastAsia="it-IT"/>
        </w:rPr>
      </w:pPr>
      <w:r w:rsidRPr="000C5079">
        <w:rPr>
          <w:rFonts w:ascii="Times New Roman" w:eastAsia="Times New Roman" w:hAnsi="Times New Roman" w:cs="Times New Roman"/>
          <w:sz w:val="20"/>
          <w:szCs w:val="20"/>
          <w:lang w:eastAsia="it-IT"/>
        </w:rPr>
        <w:t xml:space="preserve"> L’approccio SDGS Agenda 2030 e le politiche economiche per lo sviluppo sostenibile in Europa: il Green Deal europeo</w:t>
      </w:r>
    </w:p>
    <w:p w14:paraId="08B054DE" w14:textId="77777777" w:rsidR="000C5079" w:rsidRPr="000C5079" w:rsidRDefault="000C5079" w:rsidP="000C5079">
      <w:pPr>
        <w:numPr>
          <w:ilvl w:val="1"/>
          <w:numId w:val="2"/>
        </w:numPr>
        <w:tabs>
          <w:tab w:val="left" w:pos="284"/>
        </w:tabs>
        <w:spacing w:after="0" w:line="240" w:lineRule="exact"/>
        <w:contextualSpacing/>
        <w:jc w:val="both"/>
        <w:rPr>
          <w:rFonts w:ascii="Times New Roman" w:eastAsia="Times" w:hAnsi="Times New Roman" w:cs="Times New Roman"/>
          <w:sz w:val="20"/>
          <w:szCs w:val="20"/>
          <w:lang w:eastAsia="it-IT"/>
        </w:rPr>
      </w:pPr>
      <w:r w:rsidRPr="000C5079">
        <w:rPr>
          <w:rFonts w:ascii="Times New Roman" w:eastAsia="Times" w:hAnsi="Times New Roman" w:cs="Times New Roman"/>
          <w:sz w:val="20"/>
          <w:szCs w:val="20"/>
          <w:lang w:eastAsia="it-IT"/>
        </w:rPr>
        <w:t xml:space="preserve"> La politica economica della pandemia e della Guerra: Next Generation EU e RePowerEU</w:t>
      </w:r>
    </w:p>
    <w:p w14:paraId="1AE71107" w14:textId="77777777" w:rsidR="0014329D" w:rsidRPr="00686045" w:rsidRDefault="0014329D" w:rsidP="006A0836">
      <w:pPr>
        <w:tabs>
          <w:tab w:val="left" w:pos="284"/>
        </w:tabs>
        <w:spacing w:after="0" w:line="240" w:lineRule="exact"/>
        <w:jc w:val="both"/>
        <w:rPr>
          <w:rFonts w:ascii="Times New Roman" w:eastAsia="Times New Roman" w:hAnsi="Times New Roman" w:cs="Times New Roman"/>
          <w:i/>
          <w:sz w:val="20"/>
          <w:szCs w:val="20"/>
          <w:lang w:eastAsia="it-IT"/>
        </w:rPr>
      </w:pPr>
    </w:p>
    <w:p w14:paraId="03CCF139" w14:textId="78C03999" w:rsidR="00F408F2" w:rsidRPr="00686045" w:rsidRDefault="0014329D" w:rsidP="006A0836">
      <w:pPr>
        <w:tabs>
          <w:tab w:val="left" w:pos="284"/>
        </w:tabs>
        <w:spacing w:after="0" w:line="240" w:lineRule="exact"/>
        <w:jc w:val="both"/>
        <w:rPr>
          <w:rFonts w:ascii="Times New Roman" w:eastAsia="Times New Roman" w:hAnsi="Times New Roman" w:cs="Times New Roman"/>
          <w:i/>
          <w:sz w:val="20"/>
          <w:szCs w:val="20"/>
          <w:lang w:eastAsia="it-IT"/>
        </w:rPr>
      </w:pPr>
      <w:r w:rsidRPr="00686045">
        <w:rPr>
          <w:rFonts w:ascii="Times New Roman" w:eastAsia="Times New Roman" w:hAnsi="Times New Roman" w:cs="Times New Roman"/>
          <w:i/>
          <w:sz w:val="20"/>
          <w:szCs w:val="20"/>
          <w:lang w:eastAsia="it-IT"/>
        </w:rPr>
        <w:t xml:space="preserve">Modulo 2 - </w:t>
      </w:r>
      <w:r w:rsidR="00F408F2" w:rsidRPr="00686045">
        <w:rPr>
          <w:rFonts w:ascii="Times New Roman" w:eastAsia="Times New Roman" w:hAnsi="Times New Roman" w:cs="Times New Roman"/>
          <w:i/>
          <w:sz w:val="20"/>
          <w:szCs w:val="20"/>
          <w:lang w:eastAsia="it-IT"/>
        </w:rPr>
        <w:t>Economia circolare</w:t>
      </w:r>
      <w:r w:rsidRPr="00686045">
        <w:rPr>
          <w:rFonts w:ascii="Times New Roman" w:eastAsia="Times New Roman" w:hAnsi="Times New Roman" w:cs="Times New Roman"/>
          <w:i/>
          <w:sz w:val="20"/>
          <w:szCs w:val="20"/>
          <w:lang w:eastAsia="it-IT"/>
        </w:rPr>
        <w:t xml:space="preserve"> - Prof. Giovanni Guastella</w:t>
      </w:r>
    </w:p>
    <w:p w14:paraId="2C16F4E6" w14:textId="70941717" w:rsidR="00D71683" w:rsidRPr="00686045" w:rsidRDefault="00D25DB7" w:rsidP="00D71683">
      <w:pPr>
        <w:pStyle w:val="Paragrafoelenco"/>
        <w:numPr>
          <w:ilvl w:val="1"/>
          <w:numId w:val="8"/>
        </w:numPr>
        <w:tabs>
          <w:tab w:val="left" w:pos="284"/>
        </w:tabs>
        <w:spacing w:after="0" w:line="240" w:lineRule="exact"/>
        <w:jc w:val="both"/>
        <w:rPr>
          <w:rFonts w:ascii="Times New Roman" w:eastAsia="Times New Roman" w:hAnsi="Times New Roman" w:cs="Times New Roman"/>
          <w:iCs/>
          <w:sz w:val="20"/>
          <w:szCs w:val="20"/>
          <w:lang w:eastAsia="it-IT"/>
        </w:rPr>
      </w:pPr>
      <w:r w:rsidRPr="00686045">
        <w:rPr>
          <w:rFonts w:ascii="Times New Roman" w:eastAsia="Times New Roman" w:hAnsi="Times New Roman" w:cs="Times New Roman"/>
          <w:iCs/>
          <w:sz w:val="20"/>
          <w:szCs w:val="20"/>
          <w:lang w:eastAsia="it-IT"/>
        </w:rPr>
        <w:t xml:space="preserve">I benefici ambientali della </w:t>
      </w:r>
      <w:r w:rsidRPr="00686045">
        <w:rPr>
          <w:rFonts w:ascii="Times New Roman" w:eastAsia="Times New Roman" w:hAnsi="Times New Roman" w:cs="Times New Roman"/>
          <w:i/>
          <w:sz w:val="20"/>
          <w:szCs w:val="20"/>
          <w:lang w:eastAsia="it-IT"/>
        </w:rPr>
        <w:t>Circular Economy</w:t>
      </w:r>
      <w:r w:rsidRPr="00686045">
        <w:rPr>
          <w:rFonts w:ascii="Times New Roman" w:eastAsia="Times New Roman" w:hAnsi="Times New Roman" w:cs="Times New Roman"/>
          <w:iCs/>
          <w:sz w:val="20"/>
          <w:szCs w:val="20"/>
          <w:lang w:eastAsia="it-IT"/>
        </w:rPr>
        <w:t>.</w:t>
      </w:r>
    </w:p>
    <w:p w14:paraId="6009C199" w14:textId="77777777" w:rsidR="00D71683" w:rsidRPr="00686045" w:rsidRDefault="001037F2" w:rsidP="00D71683">
      <w:pPr>
        <w:pStyle w:val="Paragrafoelenco"/>
        <w:numPr>
          <w:ilvl w:val="1"/>
          <w:numId w:val="8"/>
        </w:numPr>
        <w:tabs>
          <w:tab w:val="left" w:pos="284"/>
        </w:tabs>
        <w:spacing w:after="0" w:line="240" w:lineRule="exact"/>
        <w:jc w:val="both"/>
        <w:rPr>
          <w:rFonts w:ascii="Times New Roman" w:eastAsia="Times New Roman" w:hAnsi="Times New Roman" w:cs="Times New Roman"/>
          <w:iCs/>
          <w:sz w:val="20"/>
          <w:szCs w:val="20"/>
          <w:lang w:eastAsia="it-IT"/>
        </w:rPr>
      </w:pPr>
      <w:r w:rsidRPr="00686045">
        <w:rPr>
          <w:rFonts w:ascii="Times New Roman" w:eastAsia="Times New Roman" w:hAnsi="Times New Roman" w:cs="Times New Roman"/>
          <w:i/>
          <w:sz w:val="20"/>
          <w:szCs w:val="20"/>
          <w:lang w:eastAsia="it-IT"/>
        </w:rPr>
        <w:t>Circular Economy</w:t>
      </w:r>
      <w:r w:rsidRPr="00686045">
        <w:rPr>
          <w:rFonts w:ascii="Times New Roman" w:eastAsia="Times New Roman" w:hAnsi="Times New Roman" w:cs="Times New Roman"/>
          <w:iCs/>
          <w:sz w:val="20"/>
          <w:szCs w:val="20"/>
          <w:lang w:eastAsia="it-IT"/>
        </w:rPr>
        <w:t xml:space="preserve">, </w:t>
      </w:r>
      <w:r w:rsidRPr="00686045">
        <w:rPr>
          <w:rFonts w:ascii="Times New Roman" w:eastAsia="Times New Roman" w:hAnsi="Times New Roman" w:cs="Times New Roman"/>
          <w:i/>
          <w:sz w:val="20"/>
          <w:szCs w:val="20"/>
          <w:lang w:eastAsia="it-IT"/>
        </w:rPr>
        <w:t>Bioeconomy</w:t>
      </w:r>
      <w:r w:rsidRPr="00686045">
        <w:rPr>
          <w:rFonts w:ascii="Times New Roman" w:eastAsia="Times New Roman" w:hAnsi="Times New Roman" w:cs="Times New Roman"/>
          <w:iCs/>
          <w:sz w:val="20"/>
          <w:szCs w:val="20"/>
          <w:lang w:eastAsia="it-IT"/>
        </w:rPr>
        <w:t xml:space="preserve"> e </w:t>
      </w:r>
      <w:r w:rsidRPr="00686045">
        <w:rPr>
          <w:rFonts w:ascii="Times New Roman" w:eastAsia="Times New Roman" w:hAnsi="Times New Roman" w:cs="Times New Roman"/>
          <w:i/>
          <w:sz w:val="20"/>
          <w:szCs w:val="20"/>
          <w:lang w:eastAsia="it-IT"/>
        </w:rPr>
        <w:t>Green economy</w:t>
      </w:r>
      <w:r w:rsidRPr="00686045">
        <w:rPr>
          <w:rFonts w:ascii="Times New Roman" w:eastAsia="Times New Roman" w:hAnsi="Times New Roman" w:cs="Times New Roman"/>
          <w:iCs/>
          <w:sz w:val="20"/>
          <w:szCs w:val="20"/>
          <w:lang w:eastAsia="it-IT"/>
        </w:rPr>
        <w:t>: un quadro di sintesi.</w:t>
      </w:r>
    </w:p>
    <w:p w14:paraId="036F9BC6" w14:textId="77777777" w:rsidR="00D71683" w:rsidRPr="00686045" w:rsidRDefault="001037F2" w:rsidP="00D71683">
      <w:pPr>
        <w:pStyle w:val="Paragrafoelenco"/>
        <w:numPr>
          <w:ilvl w:val="1"/>
          <w:numId w:val="8"/>
        </w:numPr>
        <w:tabs>
          <w:tab w:val="left" w:pos="284"/>
        </w:tabs>
        <w:spacing w:after="0" w:line="240" w:lineRule="exact"/>
        <w:jc w:val="both"/>
        <w:rPr>
          <w:rFonts w:ascii="Times New Roman" w:eastAsia="Times New Roman" w:hAnsi="Times New Roman" w:cs="Times New Roman"/>
          <w:iCs/>
          <w:sz w:val="20"/>
          <w:szCs w:val="20"/>
          <w:lang w:eastAsia="it-IT"/>
        </w:rPr>
      </w:pPr>
      <w:r w:rsidRPr="00686045">
        <w:rPr>
          <w:rFonts w:ascii="Times New Roman" w:eastAsia="Times New Roman" w:hAnsi="Times New Roman" w:cs="Times New Roman"/>
          <w:iCs/>
          <w:sz w:val="20"/>
          <w:szCs w:val="20"/>
          <w:lang w:eastAsia="it-IT"/>
        </w:rPr>
        <w:t>Misurare l’economia circolare: esperienze e approcci metodologici.</w:t>
      </w:r>
    </w:p>
    <w:p w14:paraId="1DC84774" w14:textId="77777777" w:rsidR="00D71683" w:rsidRPr="00686045" w:rsidRDefault="00B940AD" w:rsidP="00D71683">
      <w:pPr>
        <w:pStyle w:val="Paragrafoelenco"/>
        <w:numPr>
          <w:ilvl w:val="1"/>
          <w:numId w:val="8"/>
        </w:numPr>
        <w:tabs>
          <w:tab w:val="left" w:pos="284"/>
        </w:tabs>
        <w:spacing w:after="0" w:line="240" w:lineRule="exact"/>
        <w:jc w:val="both"/>
        <w:rPr>
          <w:rFonts w:ascii="Times New Roman" w:eastAsia="Times New Roman" w:hAnsi="Times New Roman" w:cs="Times New Roman"/>
          <w:iCs/>
          <w:sz w:val="20"/>
          <w:szCs w:val="20"/>
          <w:lang w:eastAsia="it-IT"/>
        </w:rPr>
      </w:pPr>
      <w:r w:rsidRPr="00686045">
        <w:rPr>
          <w:rFonts w:ascii="Times New Roman" w:eastAsia="Times New Roman" w:hAnsi="Times New Roman" w:cs="Times New Roman"/>
          <w:iCs/>
          <w:sz w:val="20"/>
          <w:szCs w:val="20"/>
          <w:lang w:eastAsia="it-IT"/>
        </w:rPr>
        <w:t xml:space="preserve">Trasformazione circolare dei modelli di business e analisi delle determinanti di innovazione. </w:t>
      </w:r>
    </w:p>
    <w:p w14:paraId="23C127D0" w14:textId="65EBAFE8" w:rsidR="00B940AD" w:rsidRPr="00686045" w:rsidRDefault="00B940AD" w:rsidP="00D71683">
      <w:pPr>
        <w:pStyle w:val="Paragrafoelenco"/>
        <w:numPr>
          <w:ilvl w:val="1"/>
          <w:numId w:val="8"/>
        </w:numPr>
        <w:tabs>
          <w:tab w:val="left" w:pos="284"/>
        </w:tabs>
        <w:spacing w:after="0" w:line="240" w:lineRule="exact"/>
        <w:jc w:val="both"/>
        <w:rPr>
          <w:rFonts w:ascii="Times New Roman" w:eastAsia="Times New Roman" w:hAnsi="Times New Roman" w:cs="Times New Roman"/>
          <w:iCs/>
          <w:sz w:val="20"/>
          <w:szCs w:val="20"/>
          <w:lang w:eastAsia="it-IT"/>
        </w:rPr>
      </w:pPr>
      <w:r w:rsidRPr="00686045">
        <w:rPr>
          <w:rFonts w:ascii="Times New Roman" w:eastAsia="Times New Roman" w:hAnsi="Times New Roman" w:cs="Times New Roman"/>
          <w:iCs/>
          <w:sz w:val="20"/>
          <w:szCs w:val="20"/>
          <w:lang w:eastAsia="it-IT"/>
        </w:rPr>
        <w:t xml:space="preserve">Innovazione circolare e digitale per la </w:t>
      </w:r>
      <w:r w:rsidRPr="00686045">
        <w:rPr>
          <w:rFonts w:ascii="Times New Roman" w:eastAsia="Times New Roman" w:hAnsi="Times New Roman" w:cs="Times New Roman"/>
          <w:i/>
          <w:sz w:val="20"/>
          <w:szCs w:val="20"/>
          <w:lang w:eastAsia="it-IT"/>
        </w:rPr>
        <w:t>twin transition</w:t>
      </w:r>
      <w:r w:rsidRPr="00686045">
        <w:rPr>
          <w:rFonts w:ascii="Times New Roman" w:eastAsia="Times New Roman" w:hAnsi="Times New Roman" w:cs="Times New Roman"/>
          <w:iCs/>
          <w:sz w:val="20"/>
          <w:szCs w:val="20"/>
          <w:lang w:eastAsia="it-IT"/>
        </w:rPr>
        <w:t xml:space="preserve"> delle piccole medie imprese.</w:t>
      </w:r>
    </w:p>
    <w:p w14:paraId="399CC9DF" w14:textId="516CF182" w:rsidR="006A0836" w:rsidRPr="00686045" w:rsidRDefault="006A0836" w:rsidP="000C5079">
      <w:pPr>
        <w:keepNext/>
        <w:tabs>
          <w:tab w:val="left" w:pos="284"/>
        </w:tabs>
        <w:spacing w:before="240" w:after="120" w:line="240" w:lineRule="exact"/>
        <w:jc w:val="both"/>
        <w:rPr>
          <w:rFonts w:ascii="Times New Roman" w:eastAsia="Times New Roman" w:hAnsi="Times New Roman" w:cs="Times New Roman"/>
          <w:b/>
          <w:sz w:val="20"/>
          <w:szCs w:val="20"/>
          <w:lang w:eastAsia="it-IT"/>
        </w:rPr>
      </w:pPr>
      <w:r w:rsidRPr="00686045">
        <w:rPr>
          <w:rFonts w:ascii="Times New Roman" w:eastAsia="Times New Roman" w:hAnsi="Times New Roman" w:cs="Times New Roman"/>
          <w:b/>
          <w:i/>
          <w:sz w:val="20"/>
          <w:szCs w:val="20"/>
          <w:lang w:eastAsia="it-IT"/>
        </w:rPr>
        <w:t>BIBLIOGRAFIA</w:t>
      </w:r>
    </w:p>
    <w:p w14:paraId="5B79DF11" w14:textId="1D18974D" w:rsidR="000C5079" w:rsidRPr="00686045" w:rsidRDefault="000C5079" w:rsidP="000C5079">
      <w:pPr>
        <w:keepNext/>
        <w:tabs>
          <w:tab w:val="left" w:pos="284"/>
        </w:tabs>
        <w:spacing w:before="240" w:after="120" w:line="240" w:lineRule="exact"/>
        <w:jc w:val="both"/>
        <w:rPr>
          <w:rFonts w:ascii="Times New Roman" w:eastAsia="Times New Roman" w:hAnsi="Times New Roman" w:cs="Times New Roman"/>
          <w:smallCaps/>
          <w:noProof/>
          <w:spacing w:val="-5"/>
          <w:sz w:val="20"/>
          <w:szCs w:val="20"/>
          <w:lang w:eastAsia="it-IT"/>
        </w:rPr>
      </w:pPr>
      <w:r w:rsidRPr="00686045">
        <w:rPr>
          <w:rFonts w:ascii="Times New Roman" w:eastAsia="Times New Roman" w:hAnsi="Times New Roman" w:cs="Times New Roman"/>
          <w:smallCaps/>
          <w:noProof/>
          <w:spacing w:val="-5"/>
          <w:sz w:val="20"/>
          <w:szCs w:val="20"/>
          <w:lang w:eastAsia="it-IT"/>
        </w:rPr>
        <w:t xml:space="preserve">MODULO 1 – </w:t>
      </w:r>
      <w:r w:rsidR="00D71683" w:rsidRPr="00686045">
        <w:rPr>
          <w:rFonts w:ascii="Times New Roman" w:eastAsia="Times New Roman" w:hAnsi="Times New Roman" w:cs="Times New Roman"/>
          <w:smallCaps/>
          <w:noProof/>
          <w:spacing w:val="-5"/>
          <w:sz w:val="20"/>
          <w:szCs w:val="20"/>
          <w:lang w:eastAsia="it-IT"/>
        </w:rPr>
        <w:t>Politica economica europea per la sostenibilita’</w:t>
      </w:r>
    </w:p>
    <w:p w14:paraId="18C65C5F" w14:textId="3504BCEE" w:rsidR="000C5079" w:rsidRPr="00686045" w:rsidRDefault="000C5079" w:rsidP="000C5079">
      <w:pPr>
        <w:spacing w:before="120" w:line="220" w:lineRule="exact"/>
        <w:rPr>
          <w:rFonts w:ascii="Times New Roman" w:hAnsi="Times New Roman" w:cs="Times New Roman"/>
          <w:i/>
          <w:noProof/>
          <w:sz w:val="20"/>
          <w:szCs w:val="20"/>
          <w:lang w:val="en-US"/>
        </w:rPr>
      </w:pPr>
      <w:r w:rsidRPr="00686045">
        <w:rPr>
          <w:rFonts w:ascii="Times New Roman" w:hAnsi="Times New Roman" w:cs="Times New Roman"/>
          <w:i/>
          <w:noProof/>
          <w:sz w:val="20"/>
          <w:szCs w:val="20"/>
          <w:lang w:val="en-US"/>
        </w:rPr>
        <w:t>Saranno predisposti materiali dal docente e forniti su Blackboard. Di seguito alcuni riferimenti utili per il corso.</w:t>
      </w:r>
    </w:p>
    <w:p w14:paraId="0F6856D1" w14:textId="77777777" w:rsidR="000C5079" w:rsidRPr="00686045" w:rsidRDefault="000C5079" w:rsidP="000C5079">
      <w:pPr>
        <w:pStyle w:val="Paragrafoelenco"/>
        <w:numPr>
          <w:ilvl w:val="0"/>
          <w:numId w:val="4"/>
        </w:numPr>
        <w:spacing w:before="120" w:after="0" w:line="220" w:lineRule="exact"/>
        <w:jc w:val="both"/>
        <w:rPr>
          <w:rFonts w:ascii="Times New Roman" w:hAnsi="Times New Roman" w:cs="Times New Roman"/>
          <w:i/>
          <w:noProof/>
          <w:sz w:val="20"/>
          <w:szCs w:val="20"/>
          <w:lang w:val="en-US"/>
        </w:rPr>
      </w:pPr>
      <w:r w:rsidRPr="00686045">
        <w:rPr>
          <w:rFonts w:ascii="Times New Roman" w:hAnsi="Times New Roman" w:cs="Times New Roman"/>
          <w:i/>
          <w:noProof/>
          <w:sz w:val="20"/>
          <w:szCs w:val="20"/>
          <w:lang w:val="en-US"/>
        </w:rPr>
        <w:t>Fetting, C. (2020). “The European Green Deal”, ESDN Report, December 2020, ESDN Office, Vienna.</w:t>
      </w:r>
    </w:p>
    <w:p w14:paraId="30D736BD" w14:textId="77777777" w:rsidR="000C5079" w:rsidRPr="00686045" w:rsidRDefault="000C5079" w:rsidP="000C5079">
      <w:pPr>
        <w:pStyle w:val="Paragrafoelenco"/>
        <w:numPr>
          <w:ilvl w:val="0"/>
          <w:numId w:val="4"/>
        </w:numPr>
        <w:spacing w:before="120" w:after="0" w:line="220" w:lineRule="exact"/>
        <w:jc w:val="both"/>
        <w:rPr>
          <w:rFonts w:ascii="Times New Roman" w:hAnsi="Times New Roman" w:cs="Times New Roman"/>
          <w:i/>
          <w:noProof/>
          <w:sz w:val="20"/>
          <w:szCs w:val="20"/>
          <w:lang w:val="en-US"/>
        </w:rPr>
      </w:pPr>
      <w:r w:rsidRPr="00686045">
        <w:rPr>
          <w:rFonts w:ascii="Times New Roman" w:hAnsi="Times New Roman" w:cs="Times New Roman"/>
          <w:i/>
          <w:noProof/>
          <w:sz w:val="20"/>
          <w:szCs w:val="20"/>
          <w:lang w:val="en-US"/>
        </w:rPr>
        <w:t xml:space="preserve">Apollonia Miola, Fritz Schiltz (2019), “Measuring sustainable development goals performance: How to monitor policy action in the 2030 Agenda implementation?, Ecological Economics, Volume 164, 2019, 106373, ISSN 0921-8009, </w:t>
      </w:r>
      <w:hyperlink r:id="rId5" w:history="1">
        <w:r w:rsidRPr="00686045">
          <w:rPr>
            <w:rStyle w:val="Collegamentoipertestuale"/>
            <w:rFonts w:ascii="Times New Roman" w:hAnsi="Times New Roman" w:cs="Times New Roman"/>
            <w:i/>
            <w:noProof/>
            <w:sz w:val="20"/>
            <w:szCs w:val="20"/>
            <w:lang w:val="en-US"/>
          </w:rPr>
          <w:t>https://doi.org/10.1016/j.ecolecon.2019.106373</w:t>
        </w:r>
      </w:hyperlink>
      <w:r w:rsidRPr="00686045">
        <w:rPr>
          <w:rFonts w:ascii="Times New Roman" w:hAnsi="Times New Roman" w:cs="Times New Roman"/>
          <w:i/>
          <w:noProof/>
          <w:sz w:val="20"/>
          <w:szCs w:val="20"/>
          <w:lang w:val="en-US"/>
        </w:rPr>
        <w:t>.</w:t>
      </w:r>
    </w:p>
    <w:p w14:paraId="4B5BCDF2" w14:textId="77777777" w:rsidR="000C5079" w:rsidRPr="00686045" w:rsidRDefault="000C5079" w:rsidP="000C5079">
      <w:pPr>
        <w:pStyle w:val="Paragrafoelenco"/>
        <w:numPr>
          <w:ilvl w:val="0"/>
          <w:numId w:val="4"/>
        </w:numPr>
        <w:spacing w:before="120" w:after="0" w:line="220" w:lineRule="exact"/>
        <w:jc w:val="both"/>
        <w:rPr>
          <w:rFonts w:ascii="Times New Roman" w:hAnsi="Times New Roman" w:cs="Times New Roman"/>
          <w:i/>
          <w:noProof/>
          <w:sz w:val="20"/>
          <w:szCs w:val="20"/>
          <w:lang w:val="en-US"/>
        </w:rPr>
      </w:pPr>
      <w:r w:rsidRPr="00686045">
        <w:rPr>
          <w:rFonts w:ascii="Times New Roman" w:hAnsi="Times New Roman" w:cs="Times New Roman"/>
          <w:i/>
          <w:noProof/>
          <w:sz w:val="20"/>
          <w:szCs w:val="20"/>
        </w:rPr>
        <w:t xml:space="preserve">Codogno, L., van den Noord, P. (2022). </w:t>
      </w:r>
      <w:r w:rsidRPr="00686045">
        <w:rPr>
          <w:rFonts w:ascii="Times New Roman" w:hAnsi="Times New Roman" w:cs="Times New Roman"/>
          <w:i/>
          <w:noProof/>
          <w:sz w:val="20"/>
          <w:szCs w:val="20"/>
          <w:lang w:val="en-US"/>
        </w:rPr>
        <w:t xml:space="preserve">Assessing Next Generation EU. In: Paganetto, L. (eds) Economic Challenges for Europe After the Pandemic. Springer Proceedings in Business and Economics. Springer, Cham. </w:t>
      </w:r>
      <w:hyperlink r:id="rId6" w:history="1">
        <w:r w:rsidRPr="00686045">
          <w:rPr>
            <w:rStyle w:val="Collegamentoipertestuale"/>
            <w:rFonts w:ascii="Times New Roman" w:hAnsi="Times New Roman" w:cs="Times New Roman"/>
            <w:i/>
            <w:noProof/>
            <w:sz w:val="20"/>
            <w:szCs w:val="20"/>
            <w:lang w:val="en-US"/>
          </w:rPr>
          <w:t>https://doi.org/10.1007/978-3-031-10302-5_5</w:t>
        </w:r>
      </w:hyperlink>
    </w:p>
    <w:p w14:paraId="3BC2A265" w14:textId="3C53C4AA" w:rsidR="000C5079" w:rsidRPr="00686045" w:rsidRDefault="000C5079" w:rsidP="000C5079">
      <w:pPr>
        <w:pStyle w:val="Paragrafoelenco"/>
        <w:numPr>
          <w:ilvl w:val="0"/>
          <w:numId w:val="4"/>
        </w:numPr>
        <w:spacing w:before="120" w:after="0" w:line="220" w:lineRule="exact"/>
        <w:jc w:val="both"/>
        <w:rPr>
          <w:rStyle w:val="Collegamentoipertestuale"/>
          <w:rFonts w:ascii="Times New Roman" w:hAnsi="Times New Roman" w:cs="Times New Roman"/>
          <w:i/>
          <w:noProof/>
          <w:color w:val="auto"/>
          <w:sz w:val="20"/>
          <w:szCs w:val="20"/>
          <w:u w:val="none"/>
          <w:lang w:val="en-US"/>
        </w:rPr>
      </w:pPr>
      <w:r w:rsidRPr="00686045">
        <w:rPr>
          <w:rFonts w:ascii="Times New Roman" w:hAnsi="Times New Roman" w:cs="Times New Roman"/>
          <w:i/>
          <w:noProof/>
          <w:sz w:val="20"/>
          <w:szCs w:val="20"/>
          <w:lang w:val="en-US"/>
        </w:rPr>
        <w:t xml:space="preserve">Laurent A. Lambert, Jad Tayah, Caroline Lee-Schmid, Monged Abdalla, Ismail Abdallah, Abdalftah H.M. Ali, Suhail Esmail, Waleed Ahmed (2022), “The EU's natural gas Cold War and diversification challenges”, Energy Strategy Reviews, Volume 43, 2022, 100934,, ISSN 2211-467X,, </w:t>
      </w:r>
      <w:hyperlink r:id="rId7" w:history="1">
        <w:r w:rsidRPr="00686045">
          <w:rPr>
            <w:rStyle w:val="Collegamentoipertestuale"/>
            <w:rFonts w:ascii="Times New Roman" w:hAnsi="Times New Roman" w:cs="Times New Roman"/>
            <w:i/>
            <w:noProof/>
            <w:sz w:val="20"/>
            <w:szCs w:val="20"/>
            <w:lang w:val="en-US"/>
          </w:rPr>
          <w:t>https://doi.org/10.1016/j.esr.2022.100934</w:t>
        </w:r>
      </w:hyperlink>
    </w:p>
    <w:p w14:paraId="18149EB1" w14:textId="77777777" w:rsidR="000C5079" w:rsidRPr="00686045" w:rsidRDefault="000C5079" w:rsidP="000C5079">
      <w:pPr>
        <w:numPr>
          <w:ilvl w:val="0"/>
          <w:numId w:val="4"/>
        </w:numPr>
        <w:spacing w:before="120" w:after="0" w:line="220" w:lineRule="exact"/>
        <w:jc w:val="both"/>
        <w:rPr>
          <w:rFonts w:ascii="Times New Roman" w:eastAsia="Times" w:hAnsi="Times New Roman" w:cs="Times New Roman"/>
          <w:noProof/>
          <w:sz w:val="20"/>
          <w:szCs w:val="20"/>
        </w:rPr>
      </w:pPr>
      <w:r w:rsidRPr="00686045">
        <w:rPr>
          <w:rFonts w:ascii="Times New Roman" w:eastAsia="Times" w:hAnsi="Times New Roman" w:cs="Times New Roman"/>
          <w:noProof/>
          <w:sz w:val="20"/>
          <w:szCs w:val="20"/>
        </w:rPr>
        <w:t>ASVIS, “</w:t>
      </w:r>
      <w:r w:rsidRPr="00686045">
        <w:rPr>
          <w:rFonts w:ascii="Times New Roman" w:eastAsia="Times" w:hAnsi="Times New Roman" w:cs="Times New Roman"/>
          <w:i/>
          <w:noProof/>
          <w:sz w:val="20"/>
          <w:szCs w:val="20"/>
        </w:rPr>
        <w:t>Rapporto ASVIS sullo sviluppo sostenibile”</w:t>
      </w:r>
      <w:r w:rsidRPr="00686045">
        <w:rPr>
          <w:rFonts w:ascii="Times New Roman" w:eastAsia="Times" w:hAnsi="Times New Roman" w:cs="Times New Roman"/>
          <w:noProof/>
          <w:sz w:val="20"/>
          <w:szCs w:val="20"/>
        </w:rPr>
        <w:t>, 2022</w:t>
      </w:r>
    </w:p>
    <w:p w14:paraId="74AC7BC1" w14:textId="77777777" w:rsidR="000C5079" w:rsidRPr="00686045" w:rsidRDefault="000C5079" w:rsidP="000C5079">
      <w:pPr>
        <w:pStyle w:val="Paragrafoelenco"/>
        <w:spacing w:before="120" w:after="0" w:line="220" w:lineRule="exact"/>
        <w:jc w:val="both"/>
        <w:rPr>
          <w:rFonts w:ascii="Times New Roman" w:hAnsi="Times New Roman" w:cs="Times New Roman"/>
          <w:i/>
          <w:noProof/>
          <w:sz w:val="20"/>
          <w:szCs w:val="20"/>
          <w:lang w:val="en-US"/>
        </w:rPr>
      </w:pPr>
    </w:p>
    <w:p w14:paraId="37AD2938" w14:textId="34A04B28" w:rsidR="00F408F2" w:rsidRPr="00686045" w:rsidRDefault="000C5079" w:rsidP="006A0836">
      <w:pPr>
        <w:spacing w:after="0" w:line="240" w:lineRule="exact"/>
        <w:ind w:left="284" w:hanging="284"/>
        <w:jc w:val="both"/>
        <w:rPr>
          <w:rFonts w:ascii="Times New Roman" w:eastAsia="Times New Roman" w:hAnsi="Times New Roman" w:cs="Times New Roman"/>
          <w:noProof/>
          <w:spacing w:val="-5"/>
          <w:sz w:val="20"/>
          <w:szCs w:val="20"/>
          <w:lang w:eastAsia="it-IT"/>
        </w:rPr>
      </w:pPr>
      <w:r w:rsidRPr="00686045">
        <w:rPr>
          <w:rFonts w:ascii="Times New Roman" w:eastAsia="Times New Roman" w:hAnsi="Times New Roman" w:cs="Times New Roman"/>
          <w:smallCaps/>
          <w:noProof/>
          <w:spacing w:val="-5"/>
          <w:sz w:val="20"/>
          <w:szCs w:val="20"/>
          <w:lang w:eastAsia="it-IT"/>
        </w:rPr>
        <w:t xml:space="preserve">MODULO 2 - </w:t>
      </w:r>
      <w:r w:rsidR="00F408F2" w:rsidRPr="00686045">
        <w:rPr>
          <w:rFonts w:ascii="Times New Roman" w:eastAsia="Times New Roman" w:hAnsi="Times New Roman" w:cs="Times New Roman"/>
          <w:smallCaps/>
          <w:noProof/>
          <w:spacing w:val="-5"/>
          <w:sz w:val="20"/>
          <w:szCs w:val="20"/>
          <w:lang w:eastAsia="it-IT"/>
        </w:rPr>
        <w:t>Dispense a cura del docente</w:t>
      </w:r>
    </w:p>
    <w:p w14:paraId="4C426019" w14:textId="2E7566D4" w:rsidR="000C5079" w:rsidRPr="000C5079" w:rsidRDefault="000C5079" w:rsidP="000C5079">
      <w:pPr>
        <w:spacing w:before="120" w:after="0" w:line="220" w:lineRule="exact"/>
        <w:jc w:val="both"/>
        <w:rPr>
          <w:rFonts w:ascii="Times New Roman" w:eastAsia="Times New Roman" w:hAnsi="Times New Roman" w:cs="Times New Roman"/>
          <w:noProof/>
          <w:sz w:val="20"/>
          <w:szCs w:val="20"/>
          <w:lang w:eastAsia="it-IT"/>
        </w:rPr>
      </w:pPr>
      <w:r w:rsidRPr="000C5079">
        <w:rPr>
          <w:rFonts w:ascii="Times New Roman" w:eastAsia="Times New Roman" w:hAnsi="Times New Roman" w:cs="Times New Roman"/>
          <w:noProof/>
          <w:sz w:val="20"/>
          <w:szCs w:val="20"/>
          <w:lang w:eastAsia="it-IT"/>
        </w:rPr>
        <w:t>La didattica è basata su lezioni frontali, seminari e  studio di casi. Saranno anche organizzate delle presentazioni degli studenti su argomenti del corso e momenti di valutazione intermedia. Infine, delle forme di progettazione di politiche saranno implementate anche in forma di hackat</w:t>
      </w:r>
      <w:r w:rsidRPr="00686045">
        <w:rPr>
          <w:rFonts w:ascii="Times New Roman" w:eastAsia="Times New Roman" w:hAnsi="Times New Roman" w:cs="Times New Roman"/>
          <w:noProof/>
          <w:sz w:val="20"/>
          <w:szCs w:val="20"/>
          <w:lang w:eastAsia="it-IT"/>
        </w:rPr>
        <w:t>h</w:t>
      </w:r>
      <w:r w:rsidRPr="000C5079">
        <w:rPr>
          <w:rFonts w:ascii="Times New Roman" w:eastAsia="Times New Roman" w:hAnsi="Times New Roman" w:cs="Times New Roman"/>
          <w:noProof/>
          <w:sz w:val="20"/>
          <w:szCs w:val="20"/>
          <w:lang w:eastAsia="it-IT"/>
        </w:rPr>
        <w:t>on.</w:t>
      </w:r>
    </w:p>
    <w:p w14:paraId="296D8FA0" w14:textId="77777777" w:rsidR="000C5079" w:rsidRPr="000C5079" w:rsidRDefault="000C5079" w:rsidP="000C5079">
      <w:pPr>
        <w:tabs>
          <w:tab w:val="left" w:pos="284"/>
        </w:tabs>
        <w:spacing w:before="240" w:after="120" w:line="220" w:lineRule="exact"/>
        <w:jc w:val="both"/>
        <w:rPr>
          <w:rFonts w:ascii="Times New Roman" w:eastAsia="Times New Roman" w:hAnsi="Times New Roman" w:cs="Times New Roman"/>
          <w:b/>
          <w:i/>
          <w:sz w:val="20"/>
          <w:szCs w:val="20"/>
          <w:lang w:eastAsia="it-IT"/>
        </w:rPr>
      </w:pPr>
      <w:r w:rsidRPr="000C5079">
        <w:rPr>
          <w:rFonts w:ascii="Times New Roman" w:eastAsia="Times New Roman" w:hAnsi="Times New Roman" w:cs="Times New Roman"/>
          <w:b/>
          <w:i/>
          <w:sz w:val="20"/>
          <w:szCs w:val="20"/>
          <w:lang w:eastAsia="it-IT"/>
        </w:rPr>
        <w:t>METODO E CRITERI DI VALUTAZIONE</w:t>
      </w:r>
    </w:p>
    <w:p w14:paraId="6B2BC038" w14:textId="58059834" w:rsidR="000C5079" w:rsidRPr="00686045" w:rsidRDefault="000C5079" w:rsidP="000C5079">
      <w:pPr>
        <w:spacing w:after="0" w:line="220" w:lineRule="exact"/>
        <w:jc w:val="both"/>
        <w:rPr>
          <w:rFonts w:ascii="Times New Roman" w:eastAsia="Times New Roman" w:hAnsi="Times New Roman" w:cs="Times New Roman"/>
          <w:noProof/>
          <w:sz w:val="20"/>
          <w:szCs w:val="20"/>
          <w:lang w:eastAsia="it-IT"/>
        </w:rPr>
      </w:pPr>
      <w:r w:rsidRPr="000C5079">
        <w:rPr>
          <w:rFonts w:ascii="Times New Roman" w:eastAsia="Times New Roman" w:hAnsi="Times New Roman" w:cs="Times New Roman"/>
          <w:noProof/>
          <w:sz w:val="20"/>
          <w:szCs w:val="20"/>
          <w:lang w:eastAsia="it-IT"/>
        </w:rPr>
        <w:lastRenderedPageBreak/>
        <w:t>La valutazione è distinta tra studenti frequentanti che sostengono due prove intermedie</w:t>
      </w:r>
      <w:r w:rsidRPr="00686045">
        <w:rPr>
          <w:rFonts w:ascii="Times New Roman" w:eastAsia="Times New Roman" w:hAnsi="Times New Roman" w:cs="Times New Roman"/>
          <w:noProof/>
          <w:sz w:val="20"/>
          <w:szCs w:val="20"/>
          <w:lang w:eastAsia="it-IT"/>
        </w:rPr>
        <w:t xml:space="preserve"> (una per modulo)</w:t>
      </w:r>
      <w:r w:rsidRPr="000C5079">
        <w:rPr>
          <w:rFonts w:ascii="Times New Roman" w:eastAsia="Times New Roman" w:hAnsi="Times New Roman" w:cs="Times New Roman"/>
          <w:noProof/>
          <w:sz w:val="20"/>
          <w:szCs w:val="20"/>
          <w:lang w:eastAsia="it-IT"/>
        </w:rPr>
        <w:t xml:space="preserve"> e studenti non frequentanti che sostengono l’esame in un’unica soluzione.</w:t>
      </w:r>
    </w:p>
    <w:p w14:paraId="5B017757" w14:textId="77777777" w:rsidR="000C5079" w:rsidRPr="000C5079" w:rsidRDefault="000C5079" w:rsidP="000C5079">
      <w:pPr>
        <w:spacing w:after="0" w:line="220" w:lineRule="exact"/>
        <w:jc w:val="both"/>
        <w:rPr>
          <w:rFonts w:ascii="Times New Roman" w:eastAsia="Times New Roman" w:hAnsi="Times New Roman" w:cs="Times New Roman"/>
          <w:noProof/>
          <w:sz w:val="20"/>
          <w:szCs w:val="20"/>
          <w:lang w:eastAsia="it-IT"/>
        </w:rPr>
      </w:pPr>
    </w:p>
    <w:p w14:paraId="087A0F0C" w14:textId="6776A6CC" w:rsidR="000C5079" w:rsidRPr="000C5079" w:rsidRDefault="000C5079" w:rsidP="000C5079">
      <w:pPr>
        <w:spacing w:after="0" w:line="220" w:lineRule="exact"/>
        <w:jc w:val="both"/>
        <w:rPr>
          <w:rFonts w:ascii="Times New Roman" w:eastAsia="Times New Roman" w:hAnsi="Times New Roman" w:cs="Times New Roman"/>
          <w:noProof/>
          <w:sz w:val="20"/>
          <w:szCs w:val="20"/>
          <w:lang w:eastAsia="it-IT"/>
        </w:rPr>
      </w:pPr>
      <w:r w:rsidRPr="000C5079">
        <w:rPr>
          <w:rFonts w:ascii="Times New Roman" w:eastAsia="Times New Roman" w:hAnsi="Times New Roman" w:cs="Times New Roman"/>
          <w:noProof/>
          <w:sz w:val="20"/>
          <w:szCs w:val="20"/>
          <w:lang w:eastAsia="it-IT"/>
        </w:rPr>
        <w:t xml:space="preserve">Il primo gruppo di studenti dovrà rispondere a due domande in ognuna delle prove intermedie (da scegliersi tra </w:t>
      </w:r>
      <w:r w:rsidR="00D71683" w:rsidRPr="00686045">
        <w:rPr>
          <w:rFonts w:ascii="Times New Roman" w:eastAsia="Times New Roman" w:hAnsi="Times New Roman" w:cs="Times New Roman"/>
          <w:noProof/>
          <w:sz w:val="20"/>
          <w:szCs w:val="20"/>
          <w:lang w:eastAsia="it-IT"/>
        </w:rPr>
        <w:t>quattro</w:t>
      </w:r>
      <w:r w:rsidRPr="000C5079">
        <w:rPr>
          <w:rFonts w:ascii="Times New Roman" w:eastAsia="Times New Roman" w:hAnsi="Times New Roman" w:cs="Times New Roman"/>
          <w:noProof/>
          <w:sz w:val="20"/>
          <w:szCs w:val="20"/>
          <w:lang w:eastAsia="it-IT"/>
        </w:rPr>
        <w:t>). Il tempo per ogni prova intermedia è di 90’.</w:t>
      </w:r>
    </w:p>
    <w:p w14:paraId="4D9FE5A6" w14:textId="494C1728" w:rsidR="000C5079" w:rsidRPr="000C5079" w:rsidRDefault="000C5079" w:rsidP="000C5079">
      <w:pPr>
        <w:spacing w:after="0" w:line="220" w:lineRule="exact"/>
        <w:jc w:val="both"/>
        <w:rPr>
          <w:rFonts w:ascii="Times New Roman" w:eastAsia="Times New Roman" w:hAnsi="Times New Roman" w:cs="Times New Roman"/>
          <w:noProof/>
          <w:sz w:val="20"/>
          <w:szCs w:val="20"/>
          <w:lang w:eastAsia="it-IT"/>
        </w:rPr>
      </w:pPr>
      <w:r w:rsidRPr="000C5079">
        <w:rPr>
          <w:rFonts w:ascii="Times New Roman" w:eastAsia="Times New Roman" w:hAnsi="Times New Roman" w:cs="Times New Roman"/>
          <w:noProof/>
          <w:sz w:val="20"/>
          <w:szCs w:val="20"/>
          <w:lang w:eastAsia="it-IT"/>
        </w:rPr>
        <w:t xml:space="preserve">Gli studenti frequentanti potranno partecipare al Laboratorio Next Generation EU che prevede la realizzazione di: un assessment nel primo semestre di approfondimento di una policy o di un programma di interventi </w:t>
      </w:r>
      <w:r w:rsidR="00D71683" w:rsidRPr="00686045">
        <w:rPr>
          <w:rFonts w:ascii="Times New Roman" w:eastAsia="Times New Roman" w:hAnsi="Times New Roman" w:cs="Times New Roman"/>
          <w:noProof/>
          <w:sz w:val="20"/>
          <w:szCs w:val="20"/>
          <w:lang w:eastAsia="it-IT"/>
        </w:rPr>
        <w:t xml:space="preserve">(relativi al primo modulo dell’esame) </w:t>
      </w:r>
      <w:r w:rsidRPr="000C5079">
        <w:rPr>
          <w:rFonts w:ascii="Times New Roman" w:eastAsia="Times New Roman" w:hAnsi="Times New Roman" w:cs="Times New Roman"/>
          <w:noProof/>
          <w:sz w:val="20"/>
          <w:szCs w:val="20"/>
          <w:lang w:eastAsia="it-IT"/>
        </w:rPr>
        <w:t xml:space="preserve">e </w:t>
      </w:r>
      <w:r w:rsidR="00D71683" w:rsidRPr="00686045">
        <w:rPr>
          <w:rFonts w:ascii="Times New Roman" w:eastAsia="Times New Roman" w:hAnsi="Times New Roman" w:cs="Times New Roman"/>
          <w:noProof/>
          <w:sz w:val="20"/>
          <w:szCs w:val="20"/>
          <w:lang w:eastAsia="it-IT"/>
        </w:rPr>
        <w:t xml:space="preserve">nel secondo semestre </w:t>
      </w:r>
      <w:r w:rsidRPr="000C5079">
        <w:rPr>
          <w:rFonts w:ascii="Times New Roman" w:eastAsia="Times New Roman" w:hAnsi="Times New Roman" w:cs="Times New Roman"/>
          <w:noProof/>
          <w:sz w:val="20"/>
          <w:szCs w:val="20"/>
          <w:lang w:eastAsia="it-IT"/>
        </w:rPr>
        <w:t>di un esercizio di proposta di correzioni di politiche o di promo</w:t>
      </w:r>
      <w:r w:rsidR="00D71683" w:rsidRPr="00686045">
        <w:rPr>
          <w:rFonts w:ascii="Times New Roman" w:eastAsia="Times New Roman" w:hAnsi="Times New Roman" w:cs="Times New Roman"/>
          <w:noProof/>
          <w:sz w:val="20"/>
          <w:szCs w:val="20"/>
          <w:lang w:eastAsia="it-IT"/>
        </w:rPr>
        <w:t xml:space="preserve"> connessi con i temi della sostenibilità e dell’economia circolare e comunque</w:t>
      </w:r>
      <w:r w:rsidRPr="000C5079">
        <w:rPr>
          <w:rFonts w:ascii="Times New Roman" w:eastAsia="Times New Roman" w:hAnsi="Times New Roman" w:cs="Times New Roman"/>
          <w:noProof/>
          <w:sz w:val="20"/>
          <w:szCs w:val="20"/>
          <w:lang w:eastAsia="it-IT"/>
        </w:rPr>
        <w:t xml:space="preserve"> coerenti con gli orien</w:t>
      </w:r>
      <w:r w:rsidR="00D71683" w:rsidRPr="00686045">
        <w:rPr>
          <w:rFonts w:ascii="Times New Roman" w:eastAsia="Times New Roman" w:hAnsi="Times New Roman" w:cs="Times New Roman"/>
          <w:noProof/>
          <w:sz w:val="20"/>
          <w:szCs w:val="20"/>
          <w:lang w:eastAsia="it-IT"/>
        </w:rPr>
        <w:t xml:space="preserve">tamenti del Next Generation EU. </w:t>
      </w:r>
      <w:r w:rsidRPr="000C5079">
        <w:rPr>
          <w:rFonts w:ascii="Times New Roman" w:eastAsia="Times New Roman" w:hAnsi="Times New Roman" w:cs="Times New Roman"/>
          <w:noProof/>
          <w:sz w:val="20"/>
          <w:szCs w:val="20"/>
          <w:lang w:eastAsia="it-IT"/>
        </w:rPr>
        <w:t xml:space="preserve">I lavori saranno presentati nell’ambito di sessioni di discussione e di confronto e saranno oggetto di un Hackathon che permetterà un confronto con esperti e professionisti. </w:t>
      </w:r>
    </w:p>
    <w:p w14:paraId="0A39E42E" w14:textId="77777777" w:rsidR="000C5079" w:rsidRPr="000C5079" w:rsidRDefault="000C5079" w:rsidP="000C5079">
      <w:pPr>
        <w:spacing w:after="0" w:line="220" w:lineRule="exact"/>
        <w:jc w:val="both"/>
        <w:rPr>
          <w:rFonts w:ascii="Times New Roman" w:eastAsia="Times New Roman" w:hAnsi="Times New Roman" w:cs="Times New Roman"/>
          <w:noProof/>
          <w:sz w:val="20"/>
          <w:szCs w:val="20"/>
          <w:lang w:eastAsia="it-IT"/>
        </w:rPr>
      </w:pPr>
      <w:r w:rsidRPr="000C5079">
        <w:rPr>
          <w:rFonts w:ascii="Times New Roman" w:eastAsia="Times New Roman" w:hAnsi="Times New Roman" w:cs="Times New Roman"/>
          <w:noProof/>
          <w:sz w:val="20"/>
          <w:szCs w:val="20"/>
          <w:lang w:eastAsia="it-IT"/>
        </w:rPr>
        <w:t>Per i frequentanti il voto complessivo sarà dato:</w:t>
      </w:r>
    </w:p>
    <w:p w14:paraId="69F36823" w14:textId="77777777" w:rsidR="000C5079" w:rsidRPr="000C5079" w:rsidRDefault="000C5079" w:rsidP="000C5079">
      <w:pPr>
        <w:numPr>
          <w:ilvl w:val="0"/>
          <w:numId w:val="7"/>
        </w:numPr>
        <w:tabs>
          <w:tab w:val="left" w:pos="284"/>
        </w:tabs>
        <w:spacing w:after="0" w:line="220" w:lineRule="exact"/>
        <w:contextualSpacing/>
        <w:jc w:val="both"/>
        <w:rPr>
          <w:rFonts w:ascii="Times New Roman" w:eastAsia="Times New Roman" w:hAnsi="Times New Roman" w:cs="Times New Roman"/>
          <w:noProof/>
          <w:sz w:val="20"/>
          <w:szCs w:val="20"/>
          <w:lang w:eastAsia="it-IT"/>
        </w:rPr>
      </w:pPr>
      <w:r w:rsidRPr="000C5079">
        <w:rPr>
          <w:rFonts w:ascii="Times New Roman" w:eastAsia="Times New Roman" w:hAnsi="Times New Roman" w:cs="Times New Roman"/>
          <w:noProof/>
          <w:sz w:val="20"/>
          <w:szCs w:val="20"/>
          <w:lang w:eastAsia="it-IT"/>
        </w:rPr>
        <w:t>Voto delle prove intermedie (60%);</w:t>
      </w:r>
    </w:p>
    <w:p w14:paraId="39EF0618" w14:textId="77777777" w:rsidR="000C5079" w:rsidRPr="000C5079" w:rsidRDefault="000C5079" w:rsidP="000C5079">
      <w:pPr>
        <w:numPr>
          <w:ilvl w:val="0"/>
          <w:numId w:val="7"/>
        </w:numPr>
        <w:tabs>
          <w:tab w:val="left" w:pos="284"/>
        </w:tabs>
        <w:spacing w:after="0" w:line="220" w:lineRule="exact"/>
        <w:contextualSpacing/>
        <w:jc w:val="both"/>
        <w:rPr>
          <w:rFonts w:ascii="Times New Roman" w:eastAsia="Times New Roman" w:hAnsi="Times New Roman" w:cs="Times New Roman"/>
          <w:noProof/>
          <w:sz w:val="20"/>
          <w:szCs w:val="20"/>
          <w:lang w:eastAsia="it-IT"/>
        </w:rPr>
      </w:pPr>
      <w:r w:rsidRPr="000C5079">
        <w:rPr>
          <w:rFonts w:ascii="Times New Roman" w:eastAsia="Times New Roman" w:hAnsi="Times New Roman" w:cs="Times New Roman"/>
          <w:noProof/>
          <w:sz w:val="20"/>
          <w:szCs w:val="20"/>
          <w:lang w:eastAsia="it-IT"/>
        </w:rPr>
        <w:t>Voto dell’assessment del primo semestre di approfondimento (15%)</w:t>
      </w:r>
    </w:p>
    <w:p w14:paraId="21C99878" w14:textId="77777777" w:rsidR="000C5079" w:rsidRPr="000C5079" w:rsidRDefault="000C5079" w:rsidP="000C5079">
      <w:pPr>
        <w:numPr>
          <w:ilvl w:val="0"/>
          <w:numId w:val="7"/>
        </w:numPr>
        <w:tabs>
          <w:tab w:val="left" w:pos="284"/>
        </w:tabs>
        <w:spacing w:after="0" w:line="220" w:lineRule="exact"/>
        <w:contextualSpacing/>
        <w:jc w:val="both"/>
        <w:rPr>
          <w:rFonts w:ascii="Times New Roman" w:eastAsia="Times New Roman" w:hAnsi="Times New Roman" w:cs="Times New Roman"/>
          <w:noProof/>
          <w:sz w:val="20"/>
          <w:szCs w:val="20"/>
          <w:lang w:eastAsia="it-IT"/>
        </w:rPr>
      </w:pPr>
      <w:r w:rsidRPr="000C5079">
        <w:rPr>
          <w:rFonts w:ascii="Times New Roman" w:eastAsia="Times New Roman" w:hAnsi="Times New Roman" w:cs="Times New Roman"/>
          <w:noProof/>
          <w:sz w:val="20"/>
          <w:szCs w:val="20"/>
          <w:lang w:eastAsia="it-IT"/>
        </w:rPr>
        <w:t>Voto sul lavoro per l’Hackathon (25%)</w:t>
      </w:r>
    </w:p>
    <w:p w14:paraId="4DEAED96" w14:textId="77777777" w:rsidR="000C5079" w:rsidRPr="000C5079" w:rsidRDefault="000C5079" w:rsidP="000C5079">
      <w:pPr>
        <w:spacing w:after="0" w:line="220" w:lineRule="exact"/>
        <w:jc w:val="both"/>
        <w:rPr>
          <w:rFonts w:ascii="Times New Roman" w:eastAsia="Times New Roman" w:hAnsi="Times New Roman" w:cs="Times New Roman"/>
          <w:noProof/>
          <w:sz w:val="20"/>
          <w:szCs w:val="20"/>
          <w:lang w:eastAsia="it-IT"/>
        </w:rPr>
      </w:pPr>
    </w:p>
    <w:p w14:paraId="48A983F6" w14:textId="20241C54" w:rsidR="000C5079" w:rsidRPr="000C5079" w:rsidRDefault="000C5079" w:rsidP="000C5079">
      <w:pPr>
        <w:spacing w:after="0" w:line="220" w:lineRule="exact"/>
        <w:jc w:val="both"/>
        <w:rPr>
          <w:rFonts w:ascii="Times New Roman" w:eastAsia="Times New Roman" w:hAnsi="Times New Roman" w:cs="Times New Roman"/>
          <w:noProof/>
          <w:sz w:val="20"/>
          <w:szCs w:val="20"/>
          <w:lang w:eastAsia="it-IT"/>
        </w:rPr>
      </w:pPr>
      <w:r w:rsidRPr="000C5079">
        <w:rPr>
          <w:rFonts w:ascii="Times New Roman" w:eastAsia="Times New Roman" w:hAnsi="Times New Roman" w:cs="Times New Roman"/>
          <w:noProof/>
          <w:sz w:val="20"/>
          <w:szCs w:val="20"/>
          <w:lang w:eastAsia="it-IT"/>
        </w:rPr>
        <w:t xml:space="preserve">Gli studenti non frequentanti dovranno rispondere a cinque domande su otto alternative proposte nel corso dell’esame finale </w:t>
      </w:r>
      <w:r w:rsidR="00D71683" w:rsidRPr="00686045">
        <w:rPr>
          <w:rFonts w:ascii="Times New Roman" w:eastAsia="Times New Roman" w:hAnsi="Times New Roman" w:cs="Times New Roman"/>
          <w:noProof/>
          <w:sz w:val="20"/>
          <w:szCs w:val="20"/>
          <w:lang w:eastAsia="it-IT"/>
        </w:rPr>
        <w:t>da scegliersi tra quattro domande per ogni modulo (</w:t>
      </w:r>
      <w:r w:rsidRPr="000C5079">
        <w:rPr>
          <w:rFonts w:ascii="Times New Roman" w:eastAsia="Times New Roman" w:hAnsi="Times New Roman" w:cs="Times New Roman"/>
          <w:noProof/>
          <w:sz w:val="20"/>
          <w:szCs w:val="20"/>
          <w:lang w:eastAsia="it-IT"/>
        </w:rPr>
        <w:t>tempo concesso 2h30’).</w:t>
      </w:r>
    </w:p>
    <w:p w14:paraId="2A38407F" w14:textId="77777777" w:rsidR="000C5079" w:rsidRPr="000C5079" w:rsidRDefault="000C5079" w:rsidP="000C5079">
      <w:pPr>
        <w:spacing w:after="0" w:line="220" w:lineRule="exact"/>
        <w:jc w:val="both"/>
        <w:rPr>
          <w:rFonts w:ascii="Times New Roman" w:eastAsia="Times New Roman" w:hAnsi="Times New Roman" w:cs="Times New Roman"/>
          <w:b/>
          <w:i/>
          <w:noProof/>
          <w:sz w:val="20"/>
          <w:szCs w:val="20"/>
          <w:lang w:eastAsia="it-IT"/>
        </w:rPr>
      </w:pPr>
    </w:p>
    <w:p w14:paraId="4B0F1098" w14:textId="77777777" w:rsidR="000C5079" w:rsidRPr="000C5079" w:rsidRDefault="000C5079" w:rsidP="000C5079">
      <w:pPr>
        <w:spacing w:after="0" w:line="220" w:lineRule="exact"/>
        <w:jc w:val="both"/>
        <w:rPr>
          <w:rFonts w:ascii="Times New Roman" w:eastAsia="Times New Roman" w:hAnsi="Times New Roman" w:cs="Times New Roman"/>
          <w:noProof/>
          <w:sz w:val="20"/>
          <w:szCs w:val="20"/>
          <w:lang w:eastAsia="it-IT"/>
        </w:rPr>
      </w:pPr>
      <w:r w:rsidRPr="000C5079">
        <w:rPr>
          <w:rFonts w:ascii="Times New Roman" w:eastAsia="Times New Roman" w:hAnsi="Times New Roman" w:cs="Times New Roman"/>
          <w:b/>
          <w:i/>
          <w:noProof/>
          <w:sz w:val="20"/>
          <w:szCs w:val="20"/>
          <w:lang w:eastAsia="it-IT"/>
        </w:rPr>
        <w:t>AVVERTENZE E PREREQUISITI</w:t>
      </w:r>
    </w:p>
    <w:p w14:paraId="1BFC6380" w14:textId="77777777" w:rsidR="000C5079" w:rsidRPr="000C5079" w:rsidRDefault="000C5079" w:rsidP="000C5079">
      <w:pPr>
        <w:spacing w:after="0" w:line="220" w:lineRule="exact"/>
        <w:jc w:val="both"/>
        <w:rPr>
          <w:rFonts w:ascii="Times New Roman" w:eastAsia="Times New Roman" w:hAnsi="Times New Roman" w:cs="Times New Roman"/>
          <w:noProof/>
          <w:sz w:val="20"/>
          <w:szCs w:val="20"/>
          <w:lang w:eastAsia="it-IT"/>
        </w:rPr>
      </w:pPr>
    </w:p>
    <w:p w14:paraId="3C81D588" w14:textId="77777777" w:rsidR="000C5079" w:rsidRPr="000C5079" w:rsidRDefault="000C5079" w:rsidP="000C5079">
      <w:pPr>
        <w:spacing w:after="0" w:line="220" w:lineRule="exact"/>
        <w:jc w:val="both"/>
        <w:rPr>
          <w:rFonts w:ascii="Times New Roman" w:eastAsia="Times New Roman" w:hAnsi="Times New Roman" w:cs="Times New Roman"/>
          <w:noProof/>
          <w:sz w:val="20"/>
          <w:szCs w:val="20"/>
          <w:lang w:eastAsia="it-IT"/>
        </w:rPr>
      </w:pPr>
      <w:r w:rsidRPr="000C5079">
        <w:rPr>
          <w:rFonts w:ascii="Times New Roman" w:eastAsia="Times New Roman" w:hAnsi="Times New Roman" w:cs="Times New Roman"/>
          <w:noProof/>
          <w:sz w:val="20"/>
          <w:szCs w:val="20"/>
          <w:lang w:eastAsia="it-IT"/>
        </w:rPr>
        <w:t>L’esame ha come prerequisiti la conoscenza delle basi della microeconomia e della macroeconomia.</w:t>
      </w:r>
    </w:p>
    <w:p w14:paraId="5BE98671" w14:textId="77777777" w:rsidR="000C5079" w:rsidRPr="000C5079" w:rsidRDefault="000C5079" w:rsidP="000C5079">
      <w:pPr>
        <w:spacing w:after="0" w:line="220" w:lineRule="exact"/>
        <w:ind w:firstLine="284"/>
        <w:jc w:val="both"/>
        <w:rPr>
          <w:rFonts w:ascii="Times New Roman" w:eastAsia="Times New Roman" w:hAnsi="Times New Roman" w:cs="Times New Roman"/>
          <w:noProof/>
          <w:sz w:val="20"/>
          <w:szCs w:val="20"/>
          <w:lang w:eastAsia="it-IT"/>
        </w:rPr>
      </w:pPr>
    </w:p>
    <w:p w14:paraId="28D77432" w14:textId="77777777" w:rsidR="000C5079" w:rsidRPr="000C5079" w:rsidRDefault="000C5079" w:rsidP="000C5079">
      <w:pPr>
        <w:spacing w:after="0" w:line="220" w:lineRule="exact"/>
        <w:jc w:val="both"/>
        <w:rPr>
          <w:rFonts w:ascii="Times New Roman" w:eastAsia="Times New Roman" w:hAnsi="Times New Roman" w:cs="Times New Roman"/>
          <w:b/>
          <w:i/>
          <w:noProof/>
          <w:sz w:val="20"/>
          <w:szCs w:val="20"/>
          <w:lang w:eastAsia="it-IT"/>
        </w:rPr>
      </w:pPr>
      <w:r w:rsidRPr="000C5079">
        <w:rPr>
          <w:rFonts w:ascii="Times New Roman" w:eastAsia="Times New Roman" w:hAnsi="Times New Roman" w:cs="Times New Roman"/>
          <w:b/>
          <w:i/>
          <w:noProof/>
          <w:sz w:val="20"/>
          <w:szCs w:val="20"/>
          <w:lang w:eastAsia="it-IT"/>
        </w:rPr>
        <w:t>ORARIO E LUOGO DI RICEVIMENTO DEGLI STUDENTI</w:t>
      </w:r>
    </w:p>
    <w:p w14:paraId="6C915F27" w14:textId="245F879A" w:rsidR="000C5079" w:rsidRPr="00686045" w:rsidRDefault="000C5079" w:rsidP="000C5079">
      <w:pPr>
        <w:spacing w:after="0" w:line="220" w:lineRule="exact"/>
        <w:jc w:val="both"/>
        <w:rPr>
          <w:rFonts w:ascii="Times New Roman" w:eastAsia="Times New Roman" w:hAnsi="Times New Roman" w:cs="Times New Roman"/>
          <w:noProof/>
          <w:sz w:val="20"/>
          <w:szCs w:val="20"/>
          <w:lang w:eastAsia="it-IT"/>
        </w:rPr>
      </w:pPr>
    </w:p>
    <w:p w14:paraId="66006F96" w14:textId="4534D813" w:rsidR="00691109" w:rsidRPr="00686045" w:rsidRDefault="00D71683" w:rsidP="00D71683">
      <w:pPr>
        <w:spacing w:after="0" w:line="220" w:lineRule="exact"/>
        <w:jc w:val="both"/>
        <w:rPr>
          <w:rFonts w:ascii="Times New Roman" w:eastAsia="Times New Roman" w:hAnsi="Times New Roman" w:cs="Times New Roman"/>
          <w:sz w:val="20"/>
          <w:szCs w:val="20"/>
          <w:lang w:eastAsia="it-IT"/>
        </w:rPr>
      </w:pPr>
      <w:r w:rsidRPr="00686045">
        <w:rPr>
          <w:rFonts w:ascii="Times New Roman" w:eastAsia="Times New Roman" w:hAnsi="Times New Roman" w:cs="Times New Roman"/>
          <w:noProof/>
          <w:sz w:val="20"/>
          <w:szCs w:val="20"/>
          <w:lang w:eastAsia="it-IT"/>
        </w:rPr>
        <w:t xml:space="preserve">Modulo 1 – </w:t>
      </w:r>
      <w:r w:rsidR="000C5079" w:rsidRPr="00686045">
        <w:rPr>
          <w:rFonts w:ascii="Times New Roman" w:eastAsia="Times New Roman" w:hAnsi="Times New Roman" w:cs="Times New Roman"/>
          <w:sz w:val="20"/>
          <w:szCs w:val="20"/>
          <w:lang w:eastAsia="it-IT"/>
        </w:rPr>
        <w:t>Il docente riceve al giovedì dalle 14,30 alle 16 per tutto l’anno (tranne il mese di agosto).</w:t>
      </w:r>
    </w:p>
    <w:p w14:paraId="175222A7" w14:textId="1A9CB590" w:rsidR="00D71683" w:rsidRPr="00686045" w:rsidRDefault="00D71683" w:rsidP="00D71683">
      <w:pPr>
        <w:spacing w:after="0" w:line="220" w:lineRule="exact"/>
        <w:jc w:val="both"/>
        <w:rPr>
          <w:rFonts w:ascii="Times New Roman" w:eastAsia="Times New Roman" w:hAnsi="Times New Roman" w:cs="Times New Roman"/>
          <w:noProof/>
          <w:sz w:val="20"/>
          <w:szCs w:val="20"/>
          <w:lang w:eastAsia="it-IT"/>
        </w:rPr>
      </w:pPr>
      <w:r w:rsidRPr="00686045">
        <w:rPr>
          <w:rFonts w:ascii="Times New Roman" w:eastAsia="Times New Roman" w:hAnsi="Times New Roman" w:cs="Times New Roman"/>
          <w:sz w:val="20"/>
          <w:szCs w:val="20"/>
          <w:lang w:eastAsia="it-IT"/>
        </w:rPr>
        <w:t>Modulo 2 – Il docente riceve per appuntamento.</w:t>
      </w:r>
    </w:p>
    <w:sectPr w:rsidR="00D71683" w:rsidRPr="0068604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6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DD5"/>
    <w:multiLevelType w:val="hybridMultilevel"/>
    <w:tmpl w:val="09A8D7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60072A"/>
    <w:multiLevelType w:val="hybridMultilevel"/>
    <w:tmpl w:val="18583E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EA63A8"/>
    <w:multiLevelType w:val="hybridMultilevel"/>
    <w:tmpl w:val="E1FAB7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433EB2"/>
    <w:multiLevelType w:val="hybridMultilevel"/>
    <w:tmpl w:val="D01EA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D73164"/>
    <w:multiLevelType w:val="multilevel"/>
    <w:tmpl w:val="0590B1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7D2750E"/>
    <w:multiLevelType w:val="multilevel"/>
    <w:tmpl w:val="CA2C767E"/>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720" w:hanging="72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080" w:hanging="108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440" w:hanging="1440"/>
      </w:pPr>
      <w:rPr>
        <w:rFonts w:eastAsia="Times New Roman" w:cs="Times New Roman" w:hint="default"/>
      </w:rPr>
    </w:lvl>
  </w:abstractNum>
  <w:abstractNum w:abstractNumId="6" w15:restartNumberingAfterBreak="0">
    <w:nsid w:val="7C726A51"/>
    <w:multiLevelType w:val="hybridMultilevel"/>
    <w:tmpl w:val="D55A8F0E"/>
    <w:lvl w:ilvl="0" w:tplc="B706DF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DE35252"/>
    <w:multiLevelType w:val="hybridMultilevel"/>
    <w:tmpl w:val="91061FCE"/>
    <w:lvl w:ilvl="0" w:tplc="4B36C1E2">
      <w:numFmt w:val="bullet"/>
      <w:lvlText w:val="-"/>
      <w:lvlJc w:val="left"/>
      <w:pPr>
        <w:tabs>
          <w:tab w:val="num" w:pos="1429"/>
        </w:tabs>
        <w:ind w:left="1429" w:hanging="360"/>
      </w:pPr>
      <w:rPr>
        <w:rFont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16cid:durableId="278297518">
    <w:abstractNumId w:val="3"/>
  </w:num>
  <w:num w:numId="2" w16cid:durableId="627512374">
    <w:abstractNumId w:val="5"/>
  </w:num>
  <w:num w:numId="3" w16cid:durableId="1084691099">
    <w:abstractNumId w:val="6"/>
  </w:num>
  <w:num w:numId="4" w16cid:durableId="1553929679">
    <w:abstractNumId w:val="2"/>
  </w:num>
  <w:num w:numId="5" w16cid:durableId="770005362">
    <w:abstractNumId w:val="0"/>
  </w:num>
  <w:num w:numId="6" w16cid:durableId="838815768">
    <w:abstractNumId w:val="1"/>
  </w:num>
  <w:num w:numId="7" w16cid:durableId="636374030">
    <w:abstractNumId w:val="7"/>
  </w:num>
  <w:num w:numId="8" w16cid:durableId="17620274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836"/>
    <w:rsid w:val="00016FB0"/>
    <w:rsid w:val="000C5079"/>
    <w:rsid w:val="001037F2"/>
    <w:rsid w:val="0014329D"/>
    <w:rsid w:val="005833F2"/>
    <w:rsid w:val="005D1EEE"/>
    <w:rsid w:val="00686045"/>
    <w:rsid w:val="00691109"/>
    <w:rsid w:val="006A0836"/>
    <w:rsid w:val="007B5B8B"/>
    <w:rsid w:val="00AA5DBE"/>
    <w:rsid w:val="00B940AD"/>
    <w:rsid w:val="00B973A6"/>
    <w:rsid w:val="00D25DB7"/>
    <w:rsid w:val="00D71683"/>
    <w:rsid w:val="00DD4B90"/>
    <w:rsid w:val="00F408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A042"/>
  <w15:chartTrackingRefBased/>
  <w15:docId w15:val="{9AE8DB94-7453-0249-A2E3-A2D28910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0836"/>
    <w:pPr>
      <w:spacing w:after="160" w:line="259" w:lineRule="auto"/>
    </w:pPr>
    <w:rPr>
      <w:kern w:val="0"/>
      <w:sz w:val="22"/>
      <w:szCs w:val="22"/>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4329D"/>
    <w:pPr>
      <w:ind w:left="720"/>
      <w:contextualSpacing/>
    </w:pPr>
  </w:style>
  <w:style w:type="character" w:styleId="Collegamentoipertestuale">
    <w:name w:val="Hyperlink"/>
    <w:basedOn w:val="Carpredefinitoparagrafo"/>
    <w:uiPriority w:val="99"/>
    <w:unhideWhenUsed/>
    <w:rsid w:val="000C50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16/j.esr.2022.1009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07/978-3-031-10302-5_5" TargetMode="External"/><Relationship Id="rId5" Type="http://schemas.openxmlformats.org/officeDocument/2006/relationships/hyperlink" Target="https://doi.org/10.1016/j.ecolecon.2019.10637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1220</Words>
  <Characters>6954</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Guastella, Giovanni</dc:creator>
  <cp:keywords/>
  <dc:description/>
  <cp:lastModifiedBy>dises-pc </cp:lastModifiedBy>
  <cp:revision>5</cp:revision>
  <dcterms:created xsi:type="dcterms:W3CDTF">2023-06-22T10:50:00Z</dcterms:created>
  <dcterms:modified xsi:type="dcterms:W3CDTF">2023-09-19T12:49:00Z</dcterms:modified>
</cp:coreProperties>
</file>