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5B5D" w14:textId="77777777" w:rsidR="002162A1" w:rsidRPr="00A458FF" w:rsidRDefault="002162A1" w:rsidP="002162A1">
      <w:pPr>
        <w:pStyle w:val="Titolo1"/>
      </w:pPr>
      <w:r w:rsidRPr="00A458FF">
        <w:t>Diritto dell’Unione europea</w:t>
      </w:r>
    </w:p>
    <w:p w14:paraId="5F89ADD7" w14:textId="77777777" w:rsidR="002162A1" w:rsidRPr="00A458FF" w:rsidRDefault="002162A1" w:rsidP="002162A1">
      <w:pPr>
        <w:pStyle w:val="Titolo2"/>
      </w:pPr>
      <w:r>
        <w:t>Prof.</w:t>
      </w:r>
      <w:r w:rsidR="009D2F11">
        <w:t>ssa</w:t>
      </w:r>
      <w:r>
        <w:t xml:space="preserve"> Chiara Marenghi</w:t>
      </w:r>
      <w:r w:rsidR="008E588A">
        <w:t>; prof. Matteo Manfredi</w:t>
      </w:r>
    </w:p>
    <w:p w14:paraId="3FDEEDA4" w14:textId="77777777" w:rsidR="002162A1" w:rsidRPr="009E5FA6" w:rsidRDefault="002162A1" w:rsidP="002162A1">
      <w:pPr>
        <w:spacing w:before="240" w:after="120"/>
        <w:rPr>
          <w:rFonts w:eastAsia="Times New Roman"/>
          <w:b/>
          <w:sz w:val="18"/>
        </w:rPr>
      </w:pPr>
      <w:r>
        <w:rPr>
          <w:b/>
          <w:i/>
          <w:sz w:val="18"/>
        </w:rPr>
        <w:t>OBIETTIVO DEL CORSO</w:t>
      </w:r>
      <w:r w:rsidR="009E5FA6">
        <w:rPr>
          <w:b/>
          <w:i/>
          <w:sz w:val="18"/>
        </w:rPr>
        <w:t xml:space="preserve"> E RISULTATI DI APPRENDIMENTO ATTESI</w:t>
      </w:r>
    </w:p>
    <w:p w14:paraId="664F92EE" w14:textId="77777777" w:rsidR="009E5FA6" w:rsidRPr="009E5FA6" w:rsidRDefault="009E5FA6" w:rsidP="002162A1">
      <w:pPr>
        <w:rPr>
          <w:i/>
        </w:rPr>
      </w:pPr>
      <w:r>
        <w:rPr>
          <w:i/>
        </w:rPr>
        <w:t>Obiettivo del corso</w:t>
      </w:r>
    </w:p>
    <w:p w14:paraId="15C492F3" w14:textId="77777777" w:rsidR="0053679E" w:rsidRPr="00E51FEC" w:rsidRDefault="002162A1" w:rsidP="0053679E">
      <w:pPr>
        <w:rPr>
          <w:lang w:eastAsia="en-US"/>
        </w:rPr>
      </w:pPr>
      <w:r w:rsidRPr="005F1834">
        <w:t>I</w:t>
      </w:r>
      <w:r w:rsidR="008E588A">
        <w:t xml:space="preserve">l corso si propone </w:t>
      </w:r>
      <w:r w:rsidR="008E588A" w:rsidRPr="00E51FEC">
        <w:rPr>
          <w:lang w:eastAsia="en-US"/>
        </w:rPr>
        <w:t xml:space="preserve">di introdurre gli studenti alla conoscenza dell’ordinamento dell’UE, sia per le sue specifiche peculiarità rispetto agli ordinamenti nazionali, sia per l’importanza del rapporto tra diritto </w:t>
      </w:r>
      <w:r w:rsidR="008E588A">
        <w:rPr>
          <w:lang w:eastAsia="en-US"/>
        </w:rPr>
        <w:t>dell’Unione e diritti nazionali</w:t>
      </w:r>
      <w:r w:rsidR="00B00569">
        <w:t xml:space="preserve">. </w:t>
      </w:r>
      <w:r w:rsidR="004F78A3">
        <w:t xml:space="preserve">Nella prima parte del corso saranno approfonditi </w:t>
      </w:r>
      <w:r w:rsidR="004F78A3" w:rsidRPr="00B9496F">
        <w:t xml:space="preserve">i </w:t>
      </w:r>
      <w:r w:rsidR="004F78A3" w:rsidRPr="00B9496F">
        <w:rPr>
          <w:i/>
        </w:rPr>
        <w:t>profili istituzionali</w:t>
      </w:r>
      <w:r w:rsidR="004F78A3" w:rsidRPr="00B9496F">
        <w:t xml:space="preserve"> dell’Unione</w:t>
      </w:r>
      <w:r w:rsidR="00254F64">
        <w:rPr>
          <w:lang w:eastAsia="en-US"/>
        </w:rPr>
        <w:t xml:space="preserve">, quali </w:t>
      </w:r>
      <w:r w:rsidR="0053679E">
        <w:rPr>
          <w:lang w:eastAsia="en-US"/>
        </w:rPr>
        <w:t xml:space="preserve">la struttura istituzionale e </w:t>
      </w:r>
      <w:r w:rsidR="0053679E" w:rsidRPr="00E51FEC">
        <w:rPr>
          <w:lang w:eastAsia="en-US"/>
        </w:rPr>
        <w:t>le fonti del diritto dell’UE, le regole fondamentali su cui l’Unione si fonda, la loro efficacia rispetto al diritto nazionale, la sua capacità di incidere nei rapporti interindividuali e tra individuo e Stato.</w:t>
      </w:r>
    </w:p>
    <w:p w14:paraId="314629A1" w14:textId="77777777" w:rsidR="002162A1" w:rsidRDefault="005326D1" w:rsidP="002162A1">
      <w:r w:rsidRPr="00F4043B">
        <w:t xml:space="preserve">La seconda parte del corso sarà invece dedicata allo studio del </w:t>
      </w:r>
      <w:r w:rsidRPr="00F4043B">
        <w:rPr>
          <w:i/>
        </w:rPr>
        <w:t>diritto materiale dell’Unione</w:t>
      </w:r>
      <w:r w:rsidRPr="00F4043B">
        <w:t xml:space="preserve">, con particolare riguardo </w:t>
      </w:r>
      <w:r>
        <w:t xml:space="preserve">alle </w:t>
      </w:r>
      <w:r w:rsidRPr="00F4043B">
        <w:t>polit</w:t>
      </w:r>
      <w:r>
        <w:t xml:space="preserve">iche del </w:t>
      </w:r>
      <w:r w:rsidRPr="00D556FF">
        <w:rPr>
          <w:i/>
        </w:rPr>
        <w:t xml:space="preserve">mercato </w:t>
      </w:r>
      <w:r>
        <w:rPr>
          <w:i/>
        </w:rPr>
        <w:t>interno</w:t>
      </w:r>
      <w:r w:rsidRPr="00F4043B">
        <w:t>.</w:t>
      </w:r>
      <w:r>
        <w:t xml:space="preserve"> </w:t>
      </w:r>
      <w:r w:rsidR="003D2F27">
        <w:rPr>
          <w:color w:val="000000"/>
          <w:shd w:val="clear" w:color="auto" w:fill="FFFFFF"/>
        </w:rPr>
        <w:t xml:space="preserve">Sia nella </w:t>
      </w:r>
      <w:r w:rsidR="003D2F27">
        <w:rPr>
          <w:i/>
          <w:iCs/>
          <w:color w:val="000000"/>
          <w:shd w:val="clear" w:color="auto" w:fill="FFFFFF"/>
        </w:rPr>
        <w:t xml:space="preserve">parte generale </w:t>
      </w:r>
      <w:r w:rsidR="003D2F27">
        <w:rPr>
          <w:color w:val="000000"/>
          <w:shd w:val="clear" w:color="auto" w:fill="FFFFFF"/>
        </w:rPr>
        <w:t xml:space="preserve">che in quella </w:t>
      </w:r>
      <w:r w:rsidR="003D2F27">
        <w:rPr>
          <w:i/>
          <w:iCs/>
          <w:color w:val="000000"/>
          <w:shd w:val="clear" w:color="auto" w:fill="FFFFFF"/>
        </w:rPr>
        <w:t>speciale</w:t>
      </w:r>
      <w:r w:rsidR="00D53458">
        <w:rPr>
          <w:color w:val="000000"/>
          <w:shd w:val="clear" w:color="auto" w:fill="FFFFFF"/>
        </w:rPr>
        <w:t xml:space="preserve"> </w:t>
      </w:r>
      <w:r w:rsidR="00A82F88">
        <w:rPr>
          <w:color w:val="000000"/>
          <w:shd w:val="clear" w:color="auto" w:fill="FFFFFF"/>
        </w:rPr>
        <w:t xml:space="preserve">sarà </w:t>
      </w:r>
      <w:r w:rsidR="00D36BC3">
        <w:rPr>
          <w:color w:val="000000"/>
          <w:shd w:val="clear" w:color="auto" w:fill="FFFFFF"/>
        </w:rPr>
        <w:t xml:space="preserve">rivolta </w:t>
      </w:r>
      <w:r w:rsidR="00A82F88">
        <w:rPr>
          <w:color w:val="000000"/>
          <w:shd w:val="clear" w:color="auto" w:fill="FFFFFF"/>
        </w:rPr>
        <w:t xml:space="preserve">particolare attenzione </w:t>
      </w:r>
      <w:r w:rsidR="002E763D">
        <w:rPr>
          <w:color w:val="000000"/>
          <w:shd w:val="clear" w:color="auto" w:fill="FFFFFF"/>
        </w:rPr>
        <w:t xml:space="preserve">alle questioni di attualità che interessano il processo d’integrazione europea. </w:t>
      </w:r>
    </w:p>
    <w:p w14:paraId="6BB7C58D" w14:textId="77777777" w:rsidR="0089219E" w:rsidRDefault="0089219E" w:rsidP="002162A1"/>
    <w:p w14:paraId="042297AE" w14:textId="77777777" w:rsidR="0089219E" w:rsidRDefault="0089219E" w:rsidP="0089219E">
      <w:pPr>
        <w:rPr>
          <w:rFonts w:eastAsia="Times New Roman"/>
          <w:i/>
        </w:rPr>
      </w:pPr>
      <w:r>
        <w:rPr>
          <w:i/>
        </w:rPr>
        <w:t>Risultati di apprendimento attesi</w:t>
      </w:r>
    </w:p>
    <w:p w14:paraId="3E219F97" w14:textId="77777777" w:rsidR="0089219E" w:rsidRDefault="0089219E" w:rsidP="0089219E">
      <w:r>
        <w:t>CONOSCENZA E COMPRENSIONE</w:t>
      </w:r>
    </w:p>
    <w:p w14:paraId="2AF4323B" w14:textId="77777777" w:rsidR="00D44598" w:rsidRDefault="0089219E" w:rsidP="0089219E">
      <w:r>
        <w:t xml:space="preserve">Al termine del corso lo studente sarà in grado di comprendere la </w:t>
      </w:r>
      <w:r w:rsidR="0053679E">
        <w:t>struttura</w:t>
      </w:r>
      <w:r w:rsidR="004573E2">
        <w:t xml:space="preserve"> istituzionale</w:t>
      </w:r>
      <w:r w:rsidR="0053679E">
        <w:t xml:space="preserve"> dell’Unione europea</w:t>
      </w:r>
      <w:r w:rsidR="004573E2">
        <w:t xml:space="preserve">, nonché le dinamiche sottese al processo d’integrazione europea e in particolare la tensione esistente tra una dimensione più sovranazionale ed una più intergovernativa. </w:t>
      </w:r>
      <w:r w:rsidR="001B1C19">
        <w:t xml:space="preserve">Lo studente saprà inoltre descrivere le caratteristiche e le fonti dell’ordinamento dell’Unione e come quest’ultimo interagisce con gli ordinamenti nazionali. Infine, lo studente saprà </w:t>
      </w:r>
      <w:r w:rsidR="00D44598">
        <w:t xml:space="preserve">distinguere i diversi istituti giuridici relativi alle politiche del mercato </w:t>
      </w:r>
      <w:r w:rsidR="0053679E">
        <w:t>interno.</w:t>
      </w:r>
    </w:p>
    <w:p w14:paraId="7537DB1F" w14:textId="77777777" w:rsidR="00D36BC3" w:rsidRDefault="00D36BC3" w:rsidP="0089219E"/>
    <w:p w14:paraId="7ADE1E5B" w14:textId="77777777" w:rsidR="00E00B33" w:rsidRDefault="00E00B33" w:rsidP="0089219E"/>
    <w:p w14:paraId="363F910E" w14:textId="77777777" w:rsidR="00E00B33" w:rsidRDefault="00E00B33" w:rsidP="00E00B33">
      <w:pPr>
        <w:rPr>
          <w:rFonts w:eastAsia="Times New Roman"/>
        </w:rPr>
      </w:pPr>
      <w:r>
        <w:t>CAPACITÀ DI APPLICARE CONOSCENZA E COMPRENSIONE</w:t>
      </w:r>
    </w:p>
    <w:p w14:paraId="3FAC93A3" w14:textId="77777777" w:rsidR="00F43B13" w:rsidRDefault="00E00B33" w:rsidP="00F43B13">
      <w:r>
        <w:t>Al termine del corso lo studente sarà in grado di utilizzare il linguaggio giuridico proprio del diritto dell’Unione europea e di analizzare con senso critico le relative fonti e la giurisprudenza della Corte di giustizia. Lo studente saprà inoltre risolvere i problemi giuridici relativi all’interazione tra ordinamento dell’Unione e ordinamenti interni.</w:t>
      </w:r>
      <w:r w:rsidR="007321BC">
        <w:t xml:space="preserve"> </w:t>
      </w:r>
      <w:r w:rsidR="00E63678">
        <w:t>Infine, l</w:t>
      </w:r>
      <w:r w:rsidR="00D44598">
        <w:t>o studente</w:t>
      </w:r>
      <w:r w:rsidR="00F43B13">
        <w:t xml:space="preserve"> </w:t>
      </w:r>
      <w:r w:rsidR="009B17F6">
        <w:t xml:space="preserve">avrà acquisito </w:t>
      </w:r>
      <w:r w:rsidR="00F43B13">
        <w:t>un metodo applicabile anche allo studio delle politiche dell’Unione che non sono oggetto del corso.</w:t>
      </w:r>
    </w:p>
    <w:p w14:paraId="5AA8ADFA" w14:textId="77777777" w:rsidR="0089219E" w:rsidRDefault="0089219E" w:rsidP="0089219E"/>
    <w:p w14:paraId="142740E4" w14:textId="77777777" w:rsidR="00684228" w:rsidRDefault="00684228" w:rsidP="0089219E"/>
    <w:p w14:paraId="40F121FA" w14:textId="77777777" w:rsidR="00684228" w:rsidRDefault="00684228" w:rsidP="0089219E"/>
    <w:p w14:paraId="7DB141AB" w14:textId="77777777" w:rsidR="002162A1" w:rsidRDefault="002162A1" w:rsidP="002162A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143132C3" w14:textId="77777777" w:rsidR="000838D0" w:rsidRPr="000838D0" w:rsidRDefault="000838D0" w:rsidP="000838D0">
      <w:r w:rsidRPr="000838D0">
        <w:rPr>
          <w:i/>
        </w:rPr>
        <w:t xml:space="preserve">I. </w:t>
      </w:r>
      <w:r>
        <w:rPr>
          <w:i/>
        </w:rPr>
        <w:t>Parte generale: i profili istituzionali</w:t>
      </w:r>
    </w:p>
    <w:p w14:paraId="3E751D36" w14:textId="6C49B884" w:rsidR="000838D0" w:rsidRPr="000838D0" w:rsidRDefault="000838D0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0838D0">
        <w:rPr>
          <w:color w:val="000000"/>
          <w:shd w:val="clear" w:color="auto" w:fill="FFFFFF"/>
        </w:rPr>
        <w:t>Origini e svilupp</w:t>
      </w:r>
      <w:r w:rsidR="00233A2F">
        <w:rPr>
          <w:color w:val="000000"/>
          <w:shd w:val="clear" w:color="auto" w:fill="FFFFFF"/>
        </w:rPr>
        <w:t>o</w:t>
      </w:r>
      <w:r w:rsidRPr="000838D0">
        <w:rPr>
          <w:color w:val="000000"/>
          <w:shd w:val="clear" w:color="auto" w:fill="FFFFFF"/>
        </w:rPr>
        <w:t xml:space="preserve"> del processo d’integrazione europea</w:t>
      </w:r>
    </w:p>
    <w:p w14:paraId="2DEE6733" w14:textId="39FC8F55" w:rsidR="000838D0" w:rsidRPr="000838D0" w:rsidRDefault="000838D0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0838D0">
        <w:rPr>
          <w:color w:val="000000"/>
          <w:shd w:val="clear" w:color="auto" w:fill="FFFFFF"/>
        </w:rPr>
        <w:t>Caratteristiche dell’Unione europea, valori fondanti</w:t>
      </w:r>
      <w:r w:rsidR="00233A2F">
        <w:rPr>
          <w:color w:val="000000"/>
          <w:shd w:val="clear" w:color="auto" w:fill="FFFFFF"/>
        </w:rPr>
        <w:t xml:space="preserve">, </w:t>
      </w:r>
      <w:r w:rsidRPr="000838D0">
        <w:rPr>
          <w:color w:val="000000"/>
          <w:shd w:val="clear" w:color="auto" w:fill="FFFFFF"/>
        </w:rPr>
        <w:t>obiettivi</w:t>
      </w:r>
      <w:r w:rsidR="00233A2F">
        <w:rPr>
          <w:color w:val="000000"/>
          <w:shd w:val="clear" w:color="auto" w:fill="FFFFFF"/>
        </w:rPr>
        <w:t xml:space="preserve"> e competenze</w:t>
      </w:r>
    </w:p>
    <w:p w14:paraId="6815C5D6" w14:textId="77777777" w:rsidR="000838D0" w:rsidRPr="000838D0" w:rsidRDefault="000838D0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0838D0">
        <w:rPr>
          <w:color w:val="000000"/>
          <w:shd w:val="clear" w:color="auto" w:fill="FFFFFF"/>
        </w:rPr>
        <w:t>Il quadro istituzionale (istituzioni, organi e organismi)</w:t>
      </w:r>
    </w:p>
    <w:p w14:paraId="265383C7" w14:textId="77777777" w:rsidR="000838D0" w:rsidRPr="00E165BE" w:rsidRDefault="00636B90" w:rsidP="00E165BE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L’ordinamento giuridico dell’Unione e le sue fonti</w:t>
      </w:r>
    </w:p>
    <w:p w14:paraId="6CF32562" w14:textId="77777777" w:rsidR="000838D0" w:rsidRPr="000838D0" w:rsidRDefault="000838D0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0838D0">
        <w:rPr>
          <w:color w:val="000000"/>
          <w:shd w:val="clear" w:color="auto" w:fill="FFFFFF"/>
        </w:rPr>
        <w:t>Diritto dell’Unione europea e diritto interno</w:t>
      </w:r>
    </w:p>
    <w:p w14:paraId="46EE145E" w14:textId="77777777" w:rsidR="000838D0" w:rsidRPr="000838D0" w:rsidRDefault="00E818F2" w:rsidP="000838D0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La</w:t>
      </w:r>
      <w:r w:rsidR="00487414">
        <w:rPr>
          <w:color w:val="000000"/>
          <w:shd w:val="clear" w:color="auto" w:fill="FFFFFF"/>
        </w:rPr>
        <w:t xml:space="preserve"> tutela giurisdizionale dei diritti</w:t>
      </w:r>
    </w:p>
    <w:p w14:paraId="3690260D" w14:textId="77777777" w:rsidR="000838D0" w:rsidRDefault="000838D0" w:rsidP="00E165BE">
      <w:pPr>
        <w:rPr>
          <w:color w:val="000000"/>
          <w:shd w:val="clear" w:color="auto" w:fill="FFFFFF"/>
        </w:rPr>
      </w:pPr>
    </w:p>
    <w:p w14:paraId="53109AA3" w14:textId="77777777" w:rsidR="00E165BE" w:rsidRPr="00E165BE" w:rsidRDefault="00E165BE" w:rsidP="00E165BE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II. Parte speciale: il diritto sostanziale </w:t>
      </w:r>
    </w:p>
    <w:p w14:paraId="3F0937DB" w14:textId="77777777" w:rsidR="00D44598" w:rsidRPr="00B841CC" w:rsidRDefault="00D44598" w:rsidP="0053679E">
      <w:pPr>
        <w:pStyle w:val="Paragrafoelenco"/>
        <w:numPr>
          <w:ilvl w:val="0"/>
          <w:numId w:val="2"/>
        </w:numPr>
        <w:rPr>
          <w:color w:val="000000"/>
          <w:shd w:val="clear" w:color="auto" w:fill="FFFFFF"/>
        </w:rPr>
      </w:pPr>
      <w:r w:rsidRPr="00B841CC">
        <w:rPr>
          <w:color w:val="000000"/>
          <w:shd w:val="clear" w:color="auto" w:fill="FFFFFF"/>
        </w:rPr>
        <w:t>Il mercato interno</w:t>
      </w:r>
      <w:r w:rsidR="0053679E" w:rsidRPr="00B841CC">
        <w:rPr>
          <w:color w:val="000000"/>
          <w:shd w:val="clear" w:color="auto" w:fill="FFFFFF"/>
        </w:rPr>
        <w:t>: le libertà di circolazione e la cittadinanza dell’Unione europea</w:t>
      </w:r>
    </w:p>
    <w:p w14:paraId="5FB0A1D3" w14:textId="77777777" w:rsidR="00685B73" w:rsidRPr="00793A66" w:rsidRDefault="002162A1" w:rsidP="00793A66">
      <w:pPr>
        <w:keepNext/>
        <w:spacing w:before="240" w:after="120"/>
        <w:rPr>
          <w:b/>
          <w:sz w:val="18"/>
        </w:rPr>
      </w:pPr>
      <w:r w:rsidRPr="00B841CC">
        <w:rPr>
          <w:b/>
          <w:i/>
          <w:sz w:val="18"/>
        </w:rPr>
        <w:t>BIBLIOGRAFIA</w:t>
      </w:r>
    </w:p>
    <w:p w14:paraId="163D109E" w14:textId="77777777" w:rsidR="00587D7F" w:rsidRPr="00587D7F" w:rsidRDefault="00587D7F" w:rsidP="00096869">
      <w:pPr>
        <w:pStyle w:val="Testo1"/>
        <w:spacing w:line="240" w:lineRule="atLeast"/>
        <w:rPr>
          <w:i/>
          <w:iCs/>
          <w:spacing w:val="-5"/>
          <w:sz w:val="20"/>
        </w:rPr>
      </w:pPr>
      <w:r w:rsidRPr="00587D7F">
        <w:rPr>
          <w:i/>
          <w:iCs/>
          <w:spacing w:val="-5"/>
          <w:sz w:val="20"/>
        </w:rPr>
        <w:t xml:space="preserve">I. Parte </w:t>
      </w:r>
      <w:r>
        <w:rPr>
          <w:i/>
          <w:iCs/>
          <w:spacing w:val="-5"/>
          <w:sz w:val="20"/>
        </w:rPr>
        <w:t>generale</w:t>
      </w:r>
    </w:p>
    <w:p w14:paraId="3FB345A1" w14:textId="77777777" w:rsidR="002162A1" w:rsidRPr="00735DE2" w:rsidRDefault="002162A1" w:rsidP="00096869">
      <w:pPr>
        <w:pStyle w:val="Testo1"/>
        <w:spacing w:line="240" w:lineRule="atLeast"/>
        <w:rPr>
          <w:rStyle w:val="Collegamentoipertestuale"/>
          <w:spacing w:val="-5"/>
          <w:szCs w:val="18"/>
        </w:rPr>
      </w:pPr>
      <w:r w:rsidRPr="00735DE2">
        <w:rPr>
          <w:smallCaps/>
          <w:spacing w:val="-5"/>
          <w:szCs w:val="18"/>
        </w:rPr>
        <w:t>U. Draetta</w:t>
      </w:r>
      <w:r w:rsidR="00793A66" w:rsidRPr="00735DE2">
        <w:rPr>
          <w:smallCaps/>
          <w:spacing w:val="-5"/>
          <w:szCs w:val="18"/>
        </w:rPr>
        <w:t>-F. Bestagno-A. Santini</w:t>
      </w:r>
      <w:r w:rsidRPr="00735DE2">
        <w:rPr>
          <w:smallCaps/>
          <w:spacing w:val="-5"/>
          <w:szCs w:val="18"/>
        </w:rPr>
        <w:t>,</w:t>
      </w:r>
      <w:r w:rsidRPr="00735DE2">
        <w:rPr>
          <w:i/>
          <w:spacing w:val="-5"/>
          <w:szCs w:val="18"/>
        </w:rPr>
        <w:t xml:space="preserve"> Elementi di diritto dell’Unione Europea</w:t>
      </w:r>
      <w:r w:rsidR="00B4075D" w:rsidRPr="00735DE2">
        <w:rPr>
          <w:i/>
          <w:spacing w:val="-5"/>
          <w:szCs w:val="18"/>
        </w:rPr>
        <w:t xml:space="preserve">. </w:t>
      </w:r>
      <w:r w:rsidRPr="00735DE2">
        <w:rPr>
          <w:i/>
          <w:spacing w:val="-5"/>
          <w:szCs w:val="18"/>
        </w:rPr>
        <w:t>Parte istituzionale,</w:t>
      </w:r>
      <w:r w:rsidRPr="00735DE2">
        <w:rPr>
          <w:spacing w:val="-5"/>
          <w:szCs w:val="18"/>
        </w:rPr>
        <w:t xml:space="preserve"> Giuffrè </w:t>
      </w:r>
      <w:r w:rsidR="007A3598" w:rsidRPr="00735DE2">
        <w:rPr>
          <w:spacing w:val="-5"/>
          <w:szCs w:val="18"/>
        </w:rPr>
        <w:t>Francis Lefebvre</w:t>
      </w:r>
      <w:r w:rsidRPr="00735DE2">
        <w:rPr>
          <w:spacing w:val="-5"/>
          <w:szCs w:val="18"/>
        </w:rPr>
        <w:t xml:space="preserve">, Milano, </w:t>
      </w:r>
      <w:r w:rsidR="00793A66" w:rsidRPr="00735DE2">
        <w:rPr>
          <w:spacing w:val="-5"/>
          <w:szCs w:val="18"/>
        </w:rPr>
        <w:t>20</w:t>
      </w:r>
      <w:r w:rsidR="00587D7F" w:rsidRPr="00735DE2">
        <w:rPr>
          <w:spacing w:val="-5"/>
          <w:szCs w:val="18"/>
        </w:rPr>
        <w:t>22</w:t>
      </w:r>
      <w:r w:rsidR="00793A66" w:rsidRPr="00735DE2">
        <w:rPr>
          <w:spacing w:val="-5"/>
          <w:szCs w:val="18"/>
        </w:rPr>
        <w:t xml:space="preserve">, </w:t>
      </w:r>
      <w:r w:rsidR="00587D7F" w:rsidRPr="00735DE2">
        <w:rPr>
          <w:spacing w:val="-5"/>
          <w:szCs w:val="18"/>
        </w:rPr>
        <w:t>7</w:t>
      </w:r>
      <w:r w:rsidR="00793A66" w:rsidRPr="00735DE2">
        <w:rPr>
          <w:spacing w:val="-5"/>
          <w:szCs w:val="18"/>
          <w:vertAlign w:val="superscript"/>
        </w:rPr>
        <w:t>a</w:t>
      </w:r>
      <w:r w:rsidR="00793A66" w:rsidRPr="00735DE2">
        <w:rPr>
          <w:spacing w:val="-5"/>
          <w:szCs w:val="18"/>
        </w:rPr>
        <w:t xml:space="preserve"> ed.</w:t>
      </w:r>
      <w:r w:rsidR="00566A52">
        <w:rPr>
          <w:spacing w:val="-5"/>
          <w:szCs w:val="18"/>
        </w:rPr>
        <w:t>,</w:t>
      </w:r>
      <w:r w:rsidR="00566A52" w:rsidRPr="00566A52">
        <w:rPr>
          <w:spacing w:val="-5"/>
          <w:u w:val="single"/>
        </w:rPr>
        <w:t xml:space="preserve"> </w:t>
      </w:r>
      <w:r w:rsidR="00566A52" w:rsidRPr="00E51FEC">
        <w:rPr>
          <w:spacing w:val="-5"/>
          <w:u w:val="single"/>
        </w:rPr>
        <w:t>l’intero volume con la sola eccezione del capitolo nono</w:t>
      </w:r>
      <w:r w:rsidR="00566A52">
        <w:rPr>
          <w:spacing w:val="-5"/>
          <w:u w:val="single"/>
        </w:rPr>
        <w:t>.</w:t>
      </w:r>
      <w:r w:rsidR="00566A52">
        <w:rPr>
          <w:spacing w:val="-5"/>
          <w:szCs w:val="18"/>
        </w:rPr>
        <w:t xml:space="preserve"> </w:t>
      </w:r>
      <w:r w:rsidR="00E567CD" w:rsidRPr="00735DE2">
        <w:rPr>
          <w:spacing w:val="-5"/>
          <w:szCs w:val="18"/>
        </w:rPr>
        <w:t xml:space="preserve"> </w:t>
      </w:r>
      <w:hyperlink r:id="rId5" w:history="1">
        <w:r w:rsidR="00E567CD" w:rsidRPr="00735DE2">
          <w:rPr>
            <w:rStyle w:val="Collegamentoipertestuale"/>
            <w:spacing w:val="-5"/>
            <w:szCs w:val="18"/>
          </w:rPr>
          <w:t>Acquista da V&amp;P</w:t>
        </w:r>
      </w:hyperlink>
    </w:p>
    <w:p w14:paraId="5B830F39" w14:textId="77777777" w:rsidR="00587D7F" w:rsidRDefault="00587D7F" w:rsidP="00096869">
      <w:pPr>
        <w:pStyle w:val="Testo1"/>
        <w:spacing w:line="240" w:lineRule="atLeast"/>
        <w:rPr>
          <w:rStyle w:val="Collegamentoipertestuale"/>
          <w:spacing w:val="-5"/>
        </w:rPr>
      </w:pPr>
    </w:p>
    <w:p w14:paraId="4DEBE076" w14:textId="77777777" w:rsidR="00587D7F" w:rsidRPr="00587D7F" w:rsidRDefault="00587D7F" w:rsidP="00587D7F">
      <w:pPr>
        <w:pStyle w:val="Testo1"/>
        <w:spacing w:line="240" w:lineRule="atLeast"/>
        <w:rPr>
          <w:i/>
          <w:iCs/>
          <w:spacing w:val="-5"/>
          <w:sz w:val="20"/>
        </w:rPr>
      </w:pPr>
      <w:r w:rsidRPr="00587D7F">
        <w:rPr>
          <w:i/>
          <w:iCs/>
          <w:spacing w:val="-5"/>
          <w:sz w:val="20"/>
        </w:rPr>
        <w:t>I</w:t>
      </w:r>
      <w:r w:rsidR="0053679E">
        <w:rPr>
          <w:i/>
          <w:iCs/>
          <w:spacing w:val="-5"/>
          <w:sz w:val="20"/>
        </w:rPr>
        <w:t>I</w:t>
      </w:r>
      <w:r w:rsidRPr="00587D7F">
        <w:rPr>
          <w:i/>
          <w:iCs/>
          <w:spacing w:val="-5"/>
          <w:sz w:val="20"/>
        </w:rPr>
        <w:t xml:space="preserve">. Parte </w:t>
      </w:r>
      <w:r>
        <w:rPr>
          <w:i/>
          <w:iCs/>
          <w:spacing w:val="-5"/>
          <w:sz w:val="20"/>
        </w:rPr>
        <w:t>speciale</w:t>
      </w:r>
    </w:p>
    <w:p w14:paraId="6D0EF824" w14:textId="77777777" w:rsidR="0053679E" w:rsidRPr="00C928C0" w:rsidRDefault="0053679E" w:rsidP="00C928C0">
      <w:pPr>
        <w:pStyle w:val="Testo1"/>
        <w:rPr>
          <w:spacing w:val="-5"/>
        </w:rPr>
      </w:pPr>
      <w:r w:rsidRPr="0053679E">
        <w:rPr>
          <w:smallCaps/>
          <w:szCs w:val="18"/>
        </w:rPr>
        <w:t>A. Arena-F. Bestagno-G. Rossolillo</w:t>
      </w:r>
      <w:r w:rsidRPr="0053679E">
        <w:rPr>
          <w:szCs w:val="18"/>
        </w:rPr>
        <w:t xml:space="preserve">, </w:t>
      </w:r>
      <w:r w:rsidRPr="0053679E">
        <w:rPr>
          <w:i/>
          <w:szCs w:val="18"/>
        </w:rPr>
        <w:t>Mercato unico e libertà di circolazione nell’Unione europea</w:t>
      </w:r>
      <w:r w:rsidRPr="0053679E">
        <w:rPr>
          <w:szCs w:val="18"/>
        </w:rPr>
        <w:t xml:space="preserve">, Giappichelli, 2020, 2ª ed. </w:t>
      </w:r>
      <w:hyperlink r:id="rId6" w:history="1">
        <w:r w:rsidRPr="0053679E">
          <w:rPr>
            <w:rStyle w:val="Collegamentoipertestuale"/>
            <w:rFonts w:ascii="Times New Roman" w:eastAsiaTheme="majorEastAsia" w:hAnsi="Times New Roman"/>
            <w:i/>
            <w:szCs w:val="18"/>
          </w:rPr>
          <w:t>Acquista da VP</w:t>
        </w:r>
      </w:hyperlink>
      <w:r w:rsidR="00566A52">
        <w:rPr>
          <w:szCs w:val="18"/>
        </w:rPr>
        <w:t>. L</w:t>
      </w:r>
      <w:r w:rsidRPr="0053679E">
        <w:rPr>
          <w:szCs w:val="18"/>
          <w:u w:val="single"/>
        </w:rPr>
        <w:t>o studio va limitato</w:t>
      </w:r>
      <w:r w:rsidRPr="0053679E">
        <w:rPr>
          <w:szCs w:val="18"/>
        </w:rPr>
        <w:t xml:space="preserve"> alle seguenti pagine: pp. 1-160; 173-209; 221-249; 273-287; 293-300. Nelle pagine indicate formano oggetto di esame </w:t>
      </w:r>
      <w:r w:rsidRPr="0053679E">
        <w:rPr>
          <w:b/>
          <w:bCs/>
          <w:szCs w:val="18"/>
        </w:rPr>
        <w:t xml:space="preserve">tutti i Commenti, nonché </w:t>
      </w:r>
      <w:r w:rsidRPr="0053679E">
        <w:rPr>
          <w:b/>
          <w:bCs/>
          <w:szCs w:val="18"/>
          <w:u w:val="single"/>
        </w:rPr>
        <w:t>solo</w:t>
      </w:r>
      <w:r w:rsidRPr="0053679E">
        <w:rPr>
          <w:b/>
          <w:bCs/>
          <w:szCs w:val="18"/>
        </w:rPr>
        <w:t xml:space="preserve"> le sentenze indicate qui in calce</w:t>
      </w:r>
      <w:r w:rsidRPr="0053679E">
        <w:rPr>
          <w:szCs w:val="18"/>
        </w:rPr>
        <w:t>; non sono invece destinate ad essere oggetto di studio le norme riportate nel libro, di cui è semplicemente consigliata la consultazione al fine di una migliore comprensione dei Commenti nei capitoli e delle sentenze.</w:t>
      </w:r>
    </w:p>
    <w:p w14:paraId="72525EC8" w14:textId="77777777" w:rsidR="0053679E" w:rsidRDefault="0053679E" w:rsidP="007801F0">
      <w:pPr>
        <w:pStyle w:val="Testo1"/>
        <w:spacing w:line="240" w:lineRule="atLeast"/>
        <w:rPr>
          <w:smallCaps/>
          <w:spacing w:val="-5"/>
          <w:szCs w:val="18"/>
        </w:rPr>
      </w:pPr>
    </w:p>
    <w:p w14:paraId="5D0B1976" w14:textId="77777777" w:rsidR="00793A66" w:rsidRDefault="00793A66" w:rsidP="004644DA">
      <w:pPr>
        <w:pStyle w:val="Testo1"/>
        <w:spacing w:line="240" w:lineRule="atLeast"/>
        <w:ind w:left="0" w:firstLine="0"/>
        <w:rPr>
          <w:spacing w:val="-5"/>
        </w:rPr>
      </w:pPr>
    </w:p>
    <w:p w14:paraId="0DDCB8FC" w14:textId="3300D122" w:rsidR="0033560E" w:rsidRDefault="007A3598" w:rsidP="0033560E">
      <w:pPr>
        <w:pStyle w:val="Testo1"/>
        <w:spacing w:line="240" w:lineRule="atLeast"/>
        <w:rPr>
          <w:spacing w:val="-5"/>
          <w:szCs w:val="18"/>
        </w:rPr>
      </w:pPr>
      <w:r w:rsidRPr="00B841CC">
        <w:rPr>
          <w:spacing w:val="-5"/>
        </w:rPr>
        <w:t xml:space="preserve">Per gli </w:t>
      </w:r>
      <w:r w:rsidRPr="00B841CC">
        <w:rPr>
          <w:i/>
          <w:spacing w:val="-5"/>
        </w:rPr>
        <w:t xml:space="preserve">studenti che hanno la possibilità di frequentare </w:t>
      </w:r>
      <w:r w:rsidRPr="00B841CC">
        <w:rPr>
          <w:spacing w:val="-5"/>
        </w:rPr>
        <w:t xml:space="preserve">il corso, </w:t>
      </w:r>
      <w:r w:rsidR="0033560E" w:rsidRPr="00B841CC">
        <w:rPr>
          <w:spacing w:val="-5"/>
          <w:szCs w:val="18"/>
        </w:rPr>
        <w:t>la preparazione dell’esame avverrà sulla base degli appunti delle lezioni, integrati dalle parti de</w:t>
      </w:r>
      <w:r w:rsidR="00B841CC" w:rsidRPr="00B841CC">
        <w:rPr>
          <w:spacing w:val="-5"/>
          <w:szCs w:val="18"/>
        </w:rPr>
        <w:t>i</w:t>
      </w:r>
      <w:r w:rsidR="0033560E" w:rsidRPr="00B841CC">
        <w:rPr>
          <w:spacing w:val="-5"/>
          <w:szCs w:val="18"/>
        </w:rPr>
        <w:t xml:space="preserve"> </w:t>
      </w:r>
      <w:r w:rsidR="004644DA" w:rsidRPr="00B841CC">
        <w:rPr>
          <w:spacing w:val="-5"/>
          <w:szCs w:val="18"/>
        </w:rPr>
        <w:t>manual</w:t>
      </w:r>
      <w:r w:rsidR="00B841CC">
        <w:rPr>
          <w:spacing w:val="-5"/>
          <w:szCs w:val="18"/>
        </w:rPr>
        <w:t>i</w:t>
      </w:r>
      <w:r w:rsidR="004644DA" w:rsidRPr="00B841CC">
        <w:rPr>
          <w:spacing w:val="-5"/>
          <w:szCs w:val="18"/>
        </w:rPr>
        <w:t xml:space="preserve"> </w:t>
      </w:r>
      <w:r w:rsidR="0033560E" w:rsidRPr="00B841CC">
        <w:rPr>
          <w:spacing w:val="-5"/>
          <w:szCs w:val="18"/>
        </w:rPr>
        <w:t xml:space="preserve">che verranno indicate a lezione e dagli ulteriori materiali che saranno messi a disposizione </w:t>
      </w:r>
      <w:r w:rsidR="00CD6DC0" w:rsidRPr="00B841CC">
        <w:rPr>
          <w:spacing w:val="-5"/>
          <w:szCs w:val="18"/>
        </w:rPr>
        <w:t>sulla</w:t>
      </w:r>
      <w:r w:rsidR="0033560E" w:rsidRPr="00B841CC">
        <w:rPr>
          <w:spacing w:val="-5"/>
          <w:szCs w:val="18"/>
        </w:rPr>
        <w:t xml:space="preserve"> piattaforma Blackboard.</w:t>
      </w:r>
    </w:p>
    <w:p w14:paraId="67B14B59" w14:textId="6C6C166E" w:rsidR="007A2A51" w:rsidRPr="004644DA" w:rsidRDefault="007A2A51" w:rsidP="004644DA">
      <w:pPr>
        <w:pStyle w:val="Testo1"/>
        <w:spacing w:after="120" w:line="240" w:lineRule="atLeast"/>
        <w:rPr>
          <w:spacing w:val="-5"/>
        </w:rPr>
      </w:pPr>
      <w:r>
        <w:rPr>
          <w:spacing w:val="-5"/>
        </w:rPr>
        <w:t xml:space="preserve">Agli </w:t>
      </w:r>
      <w:r w:rsidRPr="007A2A51">
        <w:rPr>
          <w:i/>
          <w:spacing w:val="-5"/>
        </w:rPr>
        <w:t>studenti non frequentanti</w:t>
      </w:r>
      <w:r w:rsidR="004644DA">
        <w:rPr>
          <w:spacing w:val="-5"/>
        </w:rPr>
        <w:t xml:space="preserve"> </w:t>
      </w:r>
      <w:r w:rsidR="00CD6DC0">
        <w:rPr>
          <w:spacing w:val="-5"/>
        </w:rPr>
        <w:t>è</w:t>
      </w:r>
      <w:r>
        <w:rPr>
          <w:spacing w:val="-5"/>
        </w:rPr>
        <w:t xml:space="preserve"> </w:t>
      </w:r>
      <w:r w:rsidR="00CD6DC0">
        <w:rPr>
          <w:spacing w:val="-5"/>
        </w:rPr>
        <w:t xml:space="preserve">richiesto lo studio </w:t>
      </w:r>
      <w:r w:rsidR="00566A52">
        <w:rPr>
          <w:spacing w:val="-5"/>
        </w:rPr>
        <w:t>dei due manuali indicati</w:t>
      </w:r>
      <w:r w:rsidR="004644DA">
        <w:rPr>
          <w:spacing w:val="-5"/>
        </w:rPr>
        <w:t xml:space="preserve"> </w:t>
      </w:r>
      <w:r w:rsidR="004644DA" w:rsidRPr="004644DA">
        <w:rPr>
          <w:spacing w:val="-5"/>
        </w:rPr>
        <w:t xml:space="preserve">secondo le indicazioni </w:t>
      </w:r>
      <w:r w:rsidR="00B841CC">
        <w:rPr>
          <w:spacing w:val="-5"/>
        </w:rPr>
        <w:t xml:space="preserve">precedentemente </w:t>
      </w:r>
      <w:r w:rsidR="004644DA" w:rsidRPr="004644DA">
        <w:rPr>
          <w:spacing w:val="-5"/>
        </w:rPr>
        <w:t>fornite.</w:t>
      </w:r>
    </w:p>
    <w:p w14:paraId="17A49131" w14:textId="77777777" w:rsidR="00C928C0" w:rsidRPr="00306E84" w:rsidRDefault="001C4191" w:rsidP="00C928C0">
      <w:pPr>
        <w:pStyle w:val="Testo1"/>
        <w:spacing w:line="240" w:lineRule="atLeast"/>
        <w:ind w:left="0" w:firstLine="284"/>
      </w:pPr>
      <w:r w:rsidRPr="00306E84">
        <w:t xml:space="preserve">Per un’adeguata comprensione </w:t>
      </w:r>
      <w:r w:rsidR="00825E20" w:rsidRPr="00306E84">
        <w:t xml:space="preserve">del diritto dell’Unione europea si ritiene </w:t>
      </w:r>
      <w:r w:rsidR="00FB479A" w:rsidRPr="00306E84">
        <w:t xml:space="preserve">in ogni caso </w:t>
      </w:r>
      <w:r w:rsidR="00825E20" w:rsidRPr="00306E84">
        <w:rPr>
          <w:i/>
        </w:rPr>
        <w:t>necessaria</w:t>
      </w:r>
      <w:r w:rsidR="00825E20" w:rsidRPr="00306E84">
        <w:t xml:space="preserve"> la consultazione </w:t>
      </w:r>
      <w:r w:rsidR="00FB479A" w:rsidRPr="00306E84">
        <w:t xml:space="preserve">delle </w:t>
      </w:r>
      <w:r w:rsidR="00993B66" w:rsidRPr="00306E84">
        <w:t>fonti, facilmente reperibili online o raccolte</w:t>
      </w:r>
      <w:r w:rsidR="00FB479A" w:rsidRPr="00306E84">
        <w:t xml:space="preserve"> in uno dei codici disponi</w:t>
      </w:r>
      <w:r w:rsidR="00993B66" w:rsidRPr="00306E84">
        <w:t xml:space="preserve">bili in commercio, tra cui ad es. </w:t>
      </w:r>
      <w:r w:rsidR="00993B66" w:rsidRPr="00306E84">
        <w:rPr>
          <w:smallCaps/>
        </w:rPr>
        <w:t xml:space="preserve">B. Nascimbene, </w:t>
      </w:r>
      <w:r w:rsidR="00993B66" w:rsidRPr="00306E84">
        <w:rPr>
          <w:i/>
        </w:rPr>
        <w:t>Unione europea. Trattati</w:t>
      </w:r>
      <w:r w:rsidR="00993B66" w:rsidRPr="00306E84">
        <w:t xml:space="preserve">, Giappichelli, Torino, </w:t>
      </w:r>
      <w:r w:rsidR="00A15853">
        <w:t>ult. ed. disponibile</w:t>
      </w:r>
      <w:r w:rsidR="00993B66" w:rsidRPr="00306E84">
        <w:t xml:space="preserve">. </w:t>
      </w:r>
    </w:p>
    <w:p w14:paraId="67541A7D" w14:textId="77777777" w:rsidR="00C70980" w:rsidRDefault="00C70980" w:rsidP="002162A1">
      <w:pPr>
        <w:spacing w:before="240" w:after="120" w:line="220" w:lineRule="exact"/>
        <w:rPr>
          <w:b/>
          <w:i/>
          <w:sz w:val="18"/>
        </w:rPr>
      </w:pPr>
    </w:p>
    <w:p w14:paraId="1F62C1F2" w14:textId="142EED59" w:rsidR="002162A1" w:rsidRDefault="002162A1" w:rsidP="002162A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2AB71CC9" w14:textId="77777777" w:rsidR="005918C0" w:rsidRPr="00735DE2" w:rsidRDefault="00993B66" w:rsidP="00735DE2">
      <w:pPr>
        <w:pStyle w:val="Testo2"/>
      </w:pPr>
      <w:r w:rsidRPr="00636E3E">
        <w:t xml:space="preserve">Alle lezioni </w:t>
      </w:r>
      <w:r w:rsidR="00753725" w:rsidRPr="00636E3E">
        <w:t>“</w:t>
      </w:r>
      <w:r w:rsidR="00D7539A" w:rsidRPr="00636E3E">
        <w:t xml:space="preserve">frontali” tradizionali si accompagnerà l’esame in aula di “materiali” volti a illustrare con metodo casistico i contenuti del corso e a favorire la partecipazione attiva degli studenti. Verrà prestata attenzione </w:t>
      </w:r>
      <w:r w:rsidR="00551B14" w:rsidRPr="00636E3E">
        <w:t>anche alla ricerca delle fonti</w:t>
      </w:r>
      <w:r w:rsidR="00D7539A" w:rsidRPr="00636E3E">
        <w:t xml:space="preserve"> </w:t>
      </w:r>
      <w:r w:rsidR="00551B14" w:rsidRPr="00636E3E">
        <w:t>tramite tecnologie informatiche.</w:t>
      </w:r>
    </w:p>
    <w:p w14:paraId="4DD80384" w14:textId="77777777" w:rsidR="002162A1" w:rsidRDefault="002162A1" w:rsidP="002162A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721015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730BB724" w14:textId="77777777" w:rsidR="00353805" w:rsidRPr="00353805" w:rsidRDefault="00353805" w:rsidP="00353805">
      <w:pPr>
        <w:pStyle w:val="Testo2"/>
        <w:rPr>
          <w:szCs w:val="18"/>
        </w:rPr>
      </w:pPr>
      <w:r w:rsidRPr="00353805">
        <w:rPr>
          <w:szCs w:val="18"/>
        </w:rPr>
        <w:t xml:space="preserve">Esame orale sulla base del programma sopra indicato, come specificato in bibliografia anche per la differenza concernente frequentanti e non frequentanti. Agli studenti frequentanti interessati verrà offerta la possibilità di suddividere l’esame in due parti, secondo le modalità concordate con </w:t>
      </w:r>
      <w:r w:rsidR="004644DA">
        <w:rPr>
          <w:szCs w:val="18"/>
        </w:rPr>
        <w:t xml:space="preserve">la </w:t>
      </w:r>
      <w:r w:rsidRPr="00353805">
        <w:rPr>
          <w:szCs w:val="18"/>
        </w:rPr>
        <w:t>docente all’inizio del corso.</w:t>
      </w:r>
    </w:p>
    <w:p w14:paraId="237DD844" w14:textId="77777777" w:rsidR="00353805" w:rsidRDefault="00353805" w:rsidP="00353805">
      <w:pPr>
        <w:pStyle w:val="Testo2"/>
        <w:rPr>
          <w:szCs w:val="18"/>
        </w:rPr>
      </w:pPr>
      <w:r w:rsidRPr="00353805">
        <w:rPr>
          <w:szCs w:val="18"/>
        </w:rPr>
        <w:t>La valutazione sarà espressa in trentesimi, tenendo conto della pertinenza della risposta, del livello di conoscenza dei temi oggetto del corso e di comprensione critica delle problematiche trattate, nonché della capacità di esposizione e dell’utilizzo di un linguaggio giuridico pertinente.</w:t>
      </w:r>
    </w:p>
    <w:p w14:paraId="2DDE69AB" w14:textId="77777777" w:rsidR="00C928C0" w:rsidRDefault="00C928C0" w:rsidP="00353805">
      <w:pPr>
        <w:pStyle w:val="Testo2"/>
        <w:rPr>
          <w:szCs w:val="18"/>
        </w:rPr>
      </w:pPr>
    </w:p>
    <w:p w14:paraId="4849C1B8" w14:textId="77777777" w:rsidR="008A4ACA" w:rsidRPr="0036086D" w:rsidRDefault="008A4ACA" w:rsidP="008A4ACA">
      <w:pPr>
        <w:pStyle w:val="Testo2"/>
        <w:ind w:firstLine="0"/>
        <w:rPr>
          <w:b/>
          <w:bCs/>
          <w:u w:val="single"/>
        </w:rPr>
      </w:pPr>
      <w:r w:rsidRPr="0036086D">
        <w:rPr>
          <w:b/>
          <w:bCs/>
          <w:u w:val="single"/>
        </w:rPr>
        <w:t>Sentenze della Corte di Giustizia da preparare dal volume “Mercato unico e libertà di circolazione nell’Unione europea”:</w:t>
      </w:r>
    </w:p>
    <w:p w14:paraId="50999645" w14:textId="77777777" w:rsidR="008A4ACA" w:rsidRPr="0036086D" w:rsidRDefault="008A4ACA" w:rsidP="008A4ACA">
      <w:pPr>
        <w:pStyle w:val="Testo2"/>
        <w:ind w:firstLine="0"/>
        <w:rPr>
          <w:u w:val="single"/>
        </w:rPr>
      </w:pPr>
      <w:r w:rsidRPr="0036086D">
        <w:rPr>
          <w:u w:val="single"/>
        </w:rPr>
        <w:t xml:space="preserve">Capitolo 1: La libera circolazione delle merci </w:t>
      </w:r>
    </w:p>
    <w:p w14:paraId="2F26BA85" w14:textId="77777777" w:rsidR="008A4ACA" w:rsidRDefault="008A4ACA" w:rsidP="008A4ACA">
      <w:pPr>
        <w:pStyle w:val="Testo2"/>
        <w:ind w:firstLine="0"/>
      </w:pPr>
      <w:r>
        <w:t>A.</w:t>
      </w:r>
      <w:r>
        <w:tab/>
        <w:t xml:space="preserve">Il mercato interno e l’unione doganale </w:t>
      </w:r>
    </w:p>
    <w:p w14:paraId="7BCE57E7" w14:textId="77777777" w:rsidR="008A4ACA" w:rsidRDefault="008A4ACA" w:rsidP="008A4ACA">
      <w:pPr>
        <w:pStyle w:val="Testo2"/>
      </w:pPr>
      <w:r>
        <w:t>3.3.</w:t>
      </w:r>
      <w:r>
        <w:tab/>
        <w:t>Sentenza 10 dicembre 1968, causa 7/68, Comm. c. Italia (“Italian Art”) (p. 14)</w:t>
      </w:r>
    </w:p>
    <w:p w14:paraId="360F4615" w14:textId="77777777" w:rsidR="008A4ACA" w:rsidRDefault="008A4ACA" w:rsidP="008A4ACA">
      <w:pPr>
        <w:pStyle w:val="Testo2"/>
        <w:ind w:left="284" w:hanging="284"/>
      </w:pPr>
      <w:r>
        <w:t>B.</w:t>
      </w:r>
      <w:r>
        <w:tab/>
        <w:t xml:space="preserve">Rilevanza ed effetti delle norme di diritto dell’UE in materia di libera circolazione delle merci </w:t>
      </w:r>
    </w:p>
    <w:p w14:paraId="03007590" w14:textId="77777777" w:rsidR="008A4ACA" w:rsidRDefault="008A4ACA" w:rsidP="008A4ACA">
      <w:pPr>
        <w:pStyle w:val="Testo2"/>
        <w:ind w:left="284" w:firstLine="0"/>
      </w:pPr>
      <w:r>
        <w:t>2.5</w:t>
      </w:r>
      <w:r>
        <w:tab/>
        <w:t>Sentenza 5 marzo 1996, cause riunite C-46/96 e C-48/93, Brasserie du Pêcheur (p. 27)</w:t>
      </w:r>
    </w:p>
    <w:p w14:paraId="43AAD84C" w14:textId="77777777" w:rsidR="008A4ACA" w:rsidRDefault="008A4ACA" w:rsidP="008A4ACA">
      <w:pPr>
        <w:pStyle w:val="Testo2"/>
        <w:ind w:firstLine="0"/>
      </w:pPr>
      <w:r>
        <w:t>C.</w:t>
      </w:r>
      <w:r>
        <w:tab/>
        <w:t>Il divieto di ostacoli di natura fiscale nel commercio tra stati membri</w:t>
      </w:r>
    </w:p>
    <w:p w14:paraId="0C38C44A" w14:textId="77777777" w:rsidR="008A4ACA" w:rsidRDefault="008A4ACA" w:rsidP="008A4ACA">
      <w:pPr>
        <w:pStyle w:val="Testo2"/>
      </w:pPr>
      <w:r>
        <w:t>2.5</w:t>
      </w:r>
      <w:r>
        <w:tab/>
        <w:t>Sentenza 26 febbraio 1975, causa 63-74, Cadsky (p. 40)</w:t>
      </w:r>
    </w:p>
    <w:p w14:paraId="78CF0BD8" w14:textId="77777777" w:rsidR="008A4ACA" w:rsidRDefault="008A4ACA" w:rsidP="008A4ACA">
      <w:pPr>
        <w:pStyle w:val="Testo2"/>
        <w:ind w:left="284" w:firstLine="0"/>
      </w:pPr>
      <w:r>
        <w:t>2.8</w:t>
      </w:r>
      <w:r>
        <w:tab/>
        <w:t>Sentenza 4 maggio 1986, causa 106/84, Comm. c. Danimarca (“vini d’uva e di frutta”, p. 43)</w:t>
      </w:r>
    </w:p>
    <w:p w14:paraId="3A0649D1" w14:textId="77777777" w:rsidR="008A4ACA" w:rsidRDefault="008A4ACA" w:rsidP="008A4ACA">
      <w:pPr>
        <w:pStyle w:val="Testo2"/>
        <w:ind w:left="284" w:firstLine="0"/>
      </w:pPr>
      <w:r>
        <w:t>2.9</w:t>
      </w:r>
      <w:r>
        <w:tab/>
        <w:t>Sentenza 12 luglio 1983, causa 170/78, Comm. c. Regno Unito (“vino e birra”, p. 53)</w:t>
      </w:r>
    </w:p>
    <w:p w14:paraId="1E4AA394" w14:textId="77777777" w:rsidR="008A4ACA" w:rsidRDefault="008A4ACA" w:rsidP="008A4ACA">
      <w:pPr>
        <w:pStyle w:val="Testo2"/>
        <w:ind w:left="284" w:hanging="284"/>
      </w:pPr>
      <w:r>
        <w:t>D.</w:t>
      </w:r>
      <w:r>
        <w:tab/>
        <w:t xml:space="preserve">Il divieto di restrizioni quantitative e di misure di effetto equivalente: le misure distintamente applicabili </w:t>
      </w:r>
    </w:p>
    <w:p w14:paraId="307237A3" w14:textId="77777777" w:rsidR="008A4ACA" w:rsidRDefault="008A4ACA" w:rsidP="008A4ACA">
      <w:pPr>
        <w:pStyle w:val="Testo2"/>
      </w:pPr>
      <w:r>
        <w:t>3.1</w:t>
      </w:r>
      <w:r>
        <w:tab/>
        <w:t>Sentenza 11 luglio 1974, causa 8/74, Dassonville (p. 55)</w:t>
      </w:r>
    </w:p>
    <w:p w14:paraId="28CD3E02" w14:textId="77777777" w:rsidR="008A4ACA" w:rsidRDefault="008A4ACA" w:rsidP="008A4ACA">
      <w:pPr>
        <w:pStyle w:val="Testo2"/>
      </w:pPr>
      <w:r>
        <w:t>3.4</w:t>
      </w:r>
      <w:r>
        <w:tab/>
        <w:t>Sentenza 9 dicembre 1981, causa 193/80, Comm. c. Italia ("Aceto") (p. 57)</w:t>
      </w:r>
    </w:p>
    <w:p w14:paraId="64D0ABBD" w14:textId="77777777" w:rsidR="008A4ACA" w:rsidRDefault="008A4ACA" w:rsidP="008A4ACA">
      <w:pPr>
        <w:pStyle w:val="Testo2"/>
        <w:ind w:firstLine="0"/>
      </w:pPr>
      <w:r>
        <w:t>E.</w:t>
      </w:r>
      <w:r>
        <w:tab/>
        <w:t xml:space="preserve">Segue: le misure indistintamente applicabili </w:t>
      </w:r>
    </w:p>
    <w:p w14:paraId="345969C5" w14:textId="77777777" w:rsidR="008A4ACA" w:rsidRDefault="008A4ACA" w:rsidP="008A4ACA">
      <w:pPr>
        <w:pStyle w:val="Testo2"/>
      </w:pPr>
      <w:r>
        <w:t>3.1</w:t>
      </w:r>
      <w:r>
        <w:tab/>
        <w:t>Sentenza 20 febbraio 1979, causa 120/78, "Cassis de Dijon" (p.71)</w:t>
      </w:r>
    </w:p>
    <w:p w14:paraId="653B8AEC" w14:textId="77777777" w:rsidR="008A4ACA" w:rsidRDefault="008A4ACA" w:rsidP="008A4ACA">
      <w:pPr>
        <w:pStyle w:val="Testo2"/>
        <w:ind w:left="284" w:firstLine="0"/>
      </w:pPr>
      <w:r>
        <w:t>3.2</w:t>
      </w:r>
      <w:r>
        <w:tab/>
        <w:t>Sentenza 24 novembre 1993, cause riunite C-267/91 e C-268/91, Keck e Mithouard (p. 73)</w:t>
      </w:r>
    </w:p>
    <w:p w14:paraId="384D7034" w14:textId="77777777" w:rsidR="008A4ACA" w:rsidRDefault="008A4ACA" w:rsidP="008A4ACA">
      <w:pPr>
        <w:pStyle w:val="Testo2"/>
      </w:pPr>
      <w:r>
        <w:t>3.4  Sentenza 10 febbraio 2009, causa C-110/05, Commissione c. Italia (rimorchi, p.78)</w:t>
      </w:r>
    </w:p>
    <w:p w14:paraId="0DD64705" w14:textId="77777777" w:rsidR="008A4ACA" w:rsidRDefault="008A4ACA" w:rsidP="008A4ACA">
      <w:pPr>
        <w:pStyle w:val="Testo2"/>
        <w:ind w:firstLine="0"/>
      </w:pPr>
      <w:r>
        <w:t>F.</w:t>
      </w:r>
      <w:r>
        <w:tab/>
        <w:t xml:space="preserve">Margini di autonomia normativa degli stati membri nella tutela di interessi generali </w:t>
      </w:r>
    </w:p>
    <w:p w14:paraId="706F5345" w14:textId="77777777" w:rsidR="008A4ACA" w:rsidRDefault="008A4ACA" w:rsidP="008A4ACA">
      <w:pPr>
        <w:pStyle w:val="Testo2"/>
      </w:pPr>
      <w:r>
        <w:t>3.1</w:t>
      </w:r>
      <w:r>
        <w:tab/>
        <w:t>Sentenza 14 luglio 1988, causa 90/86, Zoni (p. 101)</w:t>
      </w:r>
    </w:p>
    <w:p w14:paraId="79DA70B4" w14:textId="77777777" w:rsidR="008A4ACA" w:rsidRDefault="008A4ACA" w:rsidP="008A4ACA">
      <w:pPr>
        <w:pStyle w:val="Testo2"/>
      </w:pPr>
      <w:r>
        <w:t>3.4</w:t>
      </w:r>
      <w:r>
        <w:tab/>
        <w:t>Sentenza 3 dicembre 1998, causa C-67/97, Bluhme (p. 106)</w:t>
      </w:r>
    </w:p>
    <w:p w14:paraId="4C22A64C" w14:textId="77777777" w:rsidR="008A4ACA" w:rsidRDefault="008A4ACA" w:rsidP="008A4ACA">
      <w:pPr>
        <w:pStyle w:val="Testo2"/>
      </w:pPr>
    </w:p>
    <w:p w14:paraId="685283A7" w14:textId="77777777" w:rsidR="008A4ACA" w:rsidRPr="004F5EBF" w:rsidRDefault="008A4ACA" w:rsidP="008A4ACA">
      <w:pPr>
        <w:pStyle w:val="Testo2"/>
        <w:ind w:firstLine="0"/>
        <w:rPr>
          <w:u w:val="single"/>
        </w:rPr>
      </w:pPr>
      <w:r w:rsidRPr="004F5EBF">
        <w:rPr>
          <w:u w:val="single"/>
        </w:rPr>
        <w:t xml:space="preserve">Capitolo 2: La cittadinanza europea </w:t>
      </w:r>
    </w:p>
    <w:p w14:paraId="409199E6" w14:textId="77777777" w:rsidR="008A4ACA" w:rsidRDefault="008A4ACA" w:rsidP="008A4ACA">
      <w:pPr>
        <w:pStyle w:val="Testo2"/>
        <w:ind w:firstLine="0"/>
      </w:pPr>
      <w:r>
        <w:t>A.</w:t>
      </w:r>
      <w:r>
        <w:tab/>
        <w:t xml:space="preserve">Cittadinanza europea e cittadinanza nazionale </w:t>
      </w:r>
    </w:p>
    <w:p w14:paraId="2CC9EC8A" w14:textId="77777777" w:rsidR="008A4ACA" w:rsidRDefault="008A4ACA" w:rsidP="008A4ACA">
      <w:pPr>
        <w:pStyle w:val="Testo2"/>
      </w:pPr>
      <w:r>
        <w:t>3.3</w:t>
      </w:r>
      <w:r>
        <w:tab/>
        <w:t>Sentenza 2 ottobre 2008, causa C-148/02, Garcia Avello (p. 126)</w:t>
      </w:r>
    </w:p>
    <w:p w14:paraId="598437C2" w14:textId="77777777" w:rsidR="008A4ACA" w:rsidRDefault="008A4ACA" w:rsidP="008A4ACA">
      <w:pPr>
        <w:pStyle w:val="Testo2"/>
      </w:pPr>
      <w:r>
        <w:t>3.4</w:t>
      </w:r>
      <w:r>
        <w:tab/>
        <w:t>Sentenza 2 marzo 2010, causa C-135/08, Rottmann (p. 127)</w:t>
      </w:r>
    </w:p>
    <w:p w14:paraId="405BEE36" w14:textId="77777777" w:rsidR="008A4ACA" w:rsidRDefault="008A4ACA" w:rsidP="008A4ACA">
      <w:pPr>
        <w:pStyle w:val="Testo2"/>
        <w:ind w:firstLine="0"/>
      </w:pPr>
      <w:r>
        <w:t>B.</w:t>
      </w:r>
      <w:r>
        <w:tab/>
        <w:t xml:space="preserve">I diritti civili discendenti dalla cittadinanza europea </w:t>
      </w:r>
    </w:p>
    <w:p w14:paraId="21CE5434" w14:textId="77777777" w:rsidR="008A4ACA" w:rsidRDefault="008A4ACA" w:rsidP="008A4ACA">
      <w:pPr>
        <w:pStyle w:val="Testo2"/>
      </w:pPr>
      <w:r>
        <w:t>3.3</w:t>
      </w:r>
      <w:r>
        <w:tab/>
        <w:t>Sentenza 19 ottobre 2004, causa C-200/02, Chen (p. 149)</w:t>
      </w:r>
    </w:p>
    <w:p w14:paraId="0381066B" w14:textId="77777777" w:rsidR="008A4ACA" w:rsidRDefault="008A4ACA" w:rsidP="008A4ACA">
      <w:pPr>
        <w:pStyle w:val="Testo2"/>
      </w:pPr>
      <w:r>
        <w:t>3.6</w:t>
      </w:r>
      <w:r>
        <w:tab/>
        <w:t>Sentenza 5 giugno 2018, causa C-673/16, Coman (p. 153)</w:t>
      </w:r>
    </w:p>
    <w:p w14:paraId="07DFDAD7" w14:textId="77777777" w:rsidR="008A4ACA" w:rsidRPr="000F7C2A" w:rsidRDefault="008A4ACA" w:rsidP="008A4ACA">
      <w:pPr>
        <w:pStyle w:val="Testo2"/>
        <w:ind w:firstLine="0"/>
        <w:rPr>
          <w:u w:val="single"/>
        </w:rPr>
      </w:pPr>
      <w:r w:rsidRPr="000F7C2A">
        <w:rPr>
          <w:u w:val="single"/>
        </w:rPr>
        <w:t xml:space="preserve">Capitolo 3: La libera circolazione dei lavoratori </w:t>
      </w:r>
    </w:p>
    <w:p w14:paraId="31DB24C7" w14:textId="77777777" w:rsidR="008A4ACA" w:rsidRDefault="008A4ACA" w:rsidP="008A4ACA">
      <w:pPr>
        <w:pStyle w:val="Testo2"/>
        <w:ind w:left="284" w:hanging="284"/>
      </w:pPr>
      <w:r>
        <w:t>A.</w:t>
      </w:r>
      <w:r>
        <w:tab/>
        <w:t>Caratteri generali e ambito di applicazione delle norme in materia di libera circolazione dei lavoratori</w:t>
      </w:r>
    </w:p>
    <w:p w14:paraId="3F1EA263" w14:textId="77777777" w:rsidR="008A4ACA" w:rsidRDefault="008A4ACA" w:rsidP="008A4ACA">
      <w:pPr>
        <w:pStyle w:val="Testo2"/>
      </w:pPr>
      <w:r>
        <w:t>3.2</w:t>
      </w:r>
      <w:r>
        <w:tab/>
        <w:t>Sentenza 3 luglio 1986, causa 66/85, Lawrie-Blum (p. 183)</w:t>
      </w:r>
    </w:p>
    <w:p w14:paraId="15487D5E" w14:textId="77777777" w:rsidR="008A4ACA" w:rsidRDefault="008A4ACA" w:rsidP="008A4ACA">
      <w:pPr>
        <w:pStyle w:val="Testo2"/>
      </w:pPr>
      <w:r>
        <w:t>3.4</w:t>
      </w:r>
      <w:r>
        <w:tab/>
        <w:t>Sentenza 26 febbraio 1991, causa C-292/89, Antonissen (p. 187)</w:t>
      </w:r>
    </w:p>
    <w:p w14:paraId="18FE4AFB" w14:textId="77777777" w:rsidR="008A4ACA" w:rsidRDefault="008A4ACA" w:rsidP="008A4ACA">
      <w:pPr>
        <w:pStyle w:val="Testo2"/>
        <w:ind w:firstLine="0"/>
      </w:pPr>
      <w:r>
        <w:t>B. Le condizioni di accesso e di esercizio dell’impiego</w:t>
      </w:r>
    </w:p>
    <w:p w14:paraId="6E8F2BC3" w14:textId="77777777" w:rsidR="008A4ACA" w:rsidRDefault="008A4ACA" w:rsidP="008A4ACA">
      <w:pPr>
        <w:pStyle w:val="Testo2"/>
      </w:pPr>
      <w:r>
        <w:t>3.4</w:t>
      </w:r>
      <w:r>
        <w:tab/>
        <w:t>S</w:t>
      </w:r>
      <w:r w:rsidRPr="00E8304E">
        <w:t>entenza CG 6 giugno 2000, causa C-281/98, Angonese</w:t>
      </w:r>
      <w:r>
        <w:t xml:space="preserve"> (p. 206)</w:t>
      </w:r>
    </w:p>
    <w:p w14:paraId="058EDAF8" w14:textId="77777777" w:rsidR="008A4ACA" w:rsidRPr="00E8304E" w:rsidRDefault="008A4ACA" w:rsidP="008A4ACA">
      <w:pPr>
        <w:pStyle w:val="Testo2"/>
        <w:ind w:firstLine="0"/>
        <w:rPr>
          <w:u w:val="single"/>
        </w:rPr>
      </w:pPr>
      <w:r w:rsidRPr="00E8304E">
        <w:rPr>
          <w:u w:val="single"/>
        </w:rPr>
        <w:t xml:space="preserve">Capitolo 4: La libertà di stabilimento </w:t>
      </w:r>
    </w:p>
    <w:p w14:paraId="54730AC6" w14:textId="77777777" w:rsidR="008A4ACA" w:rsidRDefault="008A4ACA" w:rsidP="008A4ACA">
      <w:pPr>
        <w:pStyle w:val="Testo2"/>
        <w:ind w:firstLine="0"/>
      </w:pPr>
      <w:r>
        <w:t>A.</w:t>
      </w:r>
      <w:r>
        <w:tab/>
        <w:t xml:space="preserve">L’ambito applicativo della libertà di stabilimento </w:t>
      </w:r>
    </w:p>
    <w:p w14:paraId="5C712DFD" w14:textId="77777777" w:rsidR="008A4ACA" w:rsidRDefault="008A4ACA" w:rsidP="008A4ACA">
      <w:pPr>
        <w:pStyle w:val="Testo2"/>
      </w:pPr>
      <w:r>
        <w:t>3.1</w:t>
      </w:r>
      <w:r>
        <w:tab/>
        <w:t>Sentenza 30 novembre 1995, causa C-55/94, Gebhard (p. 224)</w:t>
      </w:r>
    </w:p>
    <w:p w14:paraId="7CFE1780" w14:textId="77777777" w:rsidR="008A4ACA" w:rsidRDefault="008A4ACA" w:rsidP="008A4ACA">
      <w:pPr>
        <w:pStyle w:val="Testo2"/>
      </w:pPr>
      <w:r>
        <w:t>3.3</w:t>
      </w:r>
      <w:r>
        <w:tab/>
        <w:t>Sentenza 27 settembre 1988, causa 81/87, Daily Mail (p. 226)</w:t>
      </w:r>
    </w:p>
    <w:p w14:paraId="3AD88C7A" w14:textId="77777777" w:rsidR="008A4ACA" w:rsidRDefault="008A4ACA" w:rsidP="008A4ACA">
      <w:pPr>
        <w:pStyle w:val="Testo2"/>
        <w:ind w:firstLine="0"/>
      </w:pPr>
      <w:r>
        <w:t>C.</w:t>
      </w:r>
      <w:r>
        <w:tab/>
        <w:t xml:space="preserve">Le deroghe alla libertà di stabilimento </w:t>
      </w:r>
    </w:p>
    <w:p w14:paraId="2091EB48" w14:textId="77777777" w:rsidR="008A4ACA" w:rsidRDefault="008A4ACA" w:rsidP="008A4ACA">
      <w:pPr>
        <w:pStyle w:val="Testo2"/>
      </w:pPr>
      <w:r w:rsidRPr="00D97277">
        <w:t>3.5. Sentenza CG 6 novembre 2003, causa C-243/01, Gambelli</w:t>
      </w:r>
      <w:r>
        <w:t xml:space="preserve"> (p. 247)</w:t>
      </w:r>
    </w:p>
    <w:p w14:paraId="18FBDD29" w14:textId="77777777" w:rsidR="008A4ACA" w:rsidRPr="001F2B09" w:rsidRDefault="008A4ACA" w:rsidP="008A4ACA">
      <w:pPr>
        <w:pStyle w:val="Testo2"/>
        <w:spacing w:line="240" w:lineRule="auto"/>
        <w:ind w:firstLine="0"/>
      </w:pPr>
      <w:r w:rsidRPr="001F2B09">
        <w:t>D.</w:t>
      </w:r>
      <w:r w:rsidRPr="001F2B09">
        <w:tab/>
        <w:t>L’integrazione positiva in materia di stabilimento</w:t>
      </w:r>
    </w:p>
    <w:p w14:paraId="1160239F" w14:textId="77777777" w:rsidR="008A4ACA" w:rsidRPr="0008795F" w:rsidRDefault="008A4ACA" w:rsidP="008A4ACA">
      <w:pPr>
        <w:pStyle w:val="Testo2"/>
        <w:spacing w:line="240" w:lineRule="auto"/>
      </w:pPr>
      <w:r w:rsidRPr="0008795F">
        <w:t xml:space="preserve">4.4. </w:t>
      </w:r>
      <w:r w:rsidRPr="0008795F">
        <w:tab/>
        <w:t>Sentenza CG 17 luglio 2014, cause riunite C-58/13 e C-59/13, Torresi (p. 269)</w:t>
      </w:r>
    </w:p>
    <w:p w14:paraId="3043474E" w14:textId="77777777" w:rsidR="008A4ACA" w:rsidRPr="00D97277" w:rsidRDefault="008A4ACA" w:rsidP="008A4ACA">
      <w:pPr>
        <w:pStyle w:val="Testo2"/>
        <w:ind w:firstLine="0"/>
        <w:rPr>
          <w:u w:val="single"/>
        </w:rPr>
      </w:pPr>
      <w:r w:rsidRPr="00D97277">
        <w:rPr>
          <w:u w:val="single"/>
        </w:rPr>
        <w:t>Capitolo 5: La libera prestazione dei servizi</w:t>
      </w:r>
    </w:p>
    <w:p w14:paraId="20134C30" w14:textId="77777777" w:rsidR="008A4ACA" w:rsidRDefault="008A4ACA" w:rsidP="008A4ACA">
      <w:pPr>
        <w:pStyle w:val="Testo2"/>
        <w:ind w:firstLine="0"/>
      </w:pPr>
      <w:r>
        <w:t>A.</w:t>
      </w:r>
      <w:r>
        <w:tab/>
        <w:t xml:space="preserve">L’ambito applicativo della libera prestazione dei servizi </w:t>
      </w:r>
    </w:p>
    <w:p w14:paraId="1F5E808A" w14:textId="77777777" w:rsidR="008A4ACA" w:rsidRDefault="008A4ACA" w:rsidP="008A4ACA">
      <w:pPr>
        <w:pStyle w:val="Testo2"/>
      </w:pPr>
      <w:r>
        <w:t>3.4</w:t>
      </w:r>
      <w:r>
        <w:tab/>
        <w:t>Sentenza 3 dicembre 1974, causa 33/74, van Binsbergen (p. 281)</w:t>
      </w:r>
    </w:p>
    <w:p w14:paraId="07760354" w14:textId="77777777" w:rsidR="008A4ACA" w:rsidRDefault="008A4ACA" w:rsidP="008A4ACA">
      <w:pPr>
        <w:pStyle w:val="Testo2"/>
      </w:pPr>
      <w:r>
        <w:t>3.5</w:t>
      </w:r>
      <w:r>
        <w:tab/>
      </w:r>
      <w:r w:rsidRPr="001D1C90">
        <w:t>Sentenza CG 11 dicembre 2003, causa C-215/01, Schnitzer</w:t>
      </w:r>
      <w:r>
        <w:t xml:space="preserve"> (p. 282)</w:t>
      </w:r>
    </w:p>
    <w:p w14:paraId="556A7525" w14:textId="77777777" w:rsidR="008A4ACA" w:rsidRPr="001F2B09" w:rsidRDefault="008A4ACA" w:rsidP="008A4ACA">
      <w:pPr>
        <w:pStyle w:val="Testo2"/>
        <w:spacing w:line="240" w:lineRule="auto"/>
        <w:ind w:left="709" w:hanging="709"/>
      </w:pPr>
      <w:r w:rsidRPr="001F2B09">
        <w:t xml:space="preserve">B. </w:t>
      </w:r>
      <w:r w:rsidRPr="001F2B09">
        <w:tab/>
        <w:t>L’integrazione negativa in materia di servizi</w:t>
      </w:r>
    </w:p>
    <w:p w14:paraId="701CFF27" w14:textId="77777777" w:rsidR="008A4ACA" w:rsidRPr="0008795F" w:rsidRDefault="008A4ACA" w:rsidP="008A4ACA">
      <w:pPr>
        <w:pStyle w:val="Testo2"/>
        <w:tabs>
          <w:tab w:val="left" w:pos="426"/>
        </w:tabs>
        <w:spacing w:line="240" w:lineRule="auto"/>
        <w:ind w:left="426" w:hanging="142"/>
      </w:pPr>
      <w:r w:rsidRPr="0008795F">
        <w:t xml:space="preserve">2.3. </w:t>
      </w:r>
      <w:r w:rsidRPr="0008795F">
        <w:tab/>
        <w:t>Sentenza CG 10 maggio 1995, causa C-384/93, Alpine Investments (p. 290)</w:t>
      </w:r>
    </w:p>
    <w:p w14:paraId="23757EE5" w14:textId="77777777" w:rsidR="008A4ACA" w:rsidRPr="001F2B09" w:rsidRDefault="008A4ACA" w:rsidP="008A4ACA">
      <w:pPr>
        <w:pStyle w:val="Testo2"/>
        <w:spacing w:line="240" w:lineRule="auto"/>
        <w:ind w:left="709" w:hanging="709"/>
      </w:pPr>
      <w:r w:rsidRPr="001F2B09">
        <w:t xml:space="preserve">C. </w:t>
      </w:r>
      <w:r w:rsidRPr="001F2B09">
        <w:tab/>
        <w:t>Le deroghe alla libera prestazione dei servizi</w:t>
      </w:r>
    </w:p>
    <w:p w14:paraId="6D91D741" w14:textId="77777777" w:rsidR="008A4ACA" w:rsidRPr="0008795F" w:rsidRDefault="008A4ACA" w:rsidP="008A4ACA">
      <w:pPr>
        <w:pStyle w:val="Testo2"/>
        <w:spacing w:line="240" w:lineRule="auto"/>
        <w:ind w:left="709" w:hanging="426"/>
      </w:pPr>
      <w:r w:rsidRPr="00E2519A">
        <w:t>2.1</w:t>
      </w:r>
      <w:r w:rsidRPr="00E2519A">
        <w:tab/>
        <w:t>Sentenza 14 ottobre 2004, causa C- 36/02, Omega (p. 297)</w:t>
      </w:r>
    </w:p>
    <w:p w14:paraId="0EFBBE12" w14:textId="77777777" w:rsidR="008A4ACA" w:rsidRPr="00E51FEC" w:rsidRDefault="008A4ACA" w:rsidP="008A4ACA">
      <w:pPr>
        <w:pStyle w:val="Testo2"/>
        <w:spacing w:line="240" w:lineRule="auto"/>
        <w:ind w:left="709" w:hanging="425"/>
      </w:pPr>
      <w:r w:rsidRPr="00E51FEC">
        <w:t xml:space="preserve">2.7. </w:t>
      </w:r>
      <w:r w:rsidRPr="00E51FEC">
        <w:tab/>
        <w:t>Sentenza CG 5 ottobre 1994, causa C-23/93, TV 10 (p. 307)</w:t>
      </w:r>
    </w:p>
    <w:p w14:paraId="6AB769EA" w14:textId="77777777" w:rsidR="008A4ACA" w:rsidRPr="001F2B09" w:rsidRDefault="008A4ACA" w:rsidP="008A4ACA">
      <w:pPr>
        <w:pStyle w:val="Testo2"/>
        <w:spacing w:line="240" w:lineRule="auto"/>
        <w:ind w:left="426" w:hanging="426"/>
        <w:rPr>
          <w:u w:val="single"/>
        </w:rPr>
      </w:pPr>
      <w:r w:rsidRPr="001F2B09">
        <w:rPr>
          <w:u w:val="single"/>
        </w:rPr>
        <w:t>Capitolo 6: La libera circolazione dei capitali e dei pagamenti</w:t>
      </w:r>
    </w:p>
    <w:p w14:paraId="19672AC0" w14:textId="77777777" w:rsidR="008A4ACA" w:rsidRPr="001F2B09" w:rsidRDefault="008A4ACA" w:rsidP="008A4ACA">
      <w:pPr>
        <w:pStyle w:val="Testo2"/>
        <w:spacing w:line="240" w:lineRule="auto"/>
        <w:ind w:left="709" w:hanging="709"/>
        <w:rPr>
          <w:color w:val="000000" w:themeColor="text1"/>
        </w:rPr>
      </w:pPr>
      <w:r w:rsidRPr="001F2B09">
        <w:rPr>
          <w:color w:val="000000" w:themeColor="text1"/>
        </w:rPr>
        <w:t xml:space="preserve">A. </w:t>
      </w:r>
      <w:r w:rsidRPr="001F2B09">
        <w:rPr>
          <w:color w:val="000000" w:themeColor="text1"/>
        </w:rPr>
        <w:tab/>
        <w:t>L’ambito applicativo della libera circolazione dei capitali e dei pagamenti</w:t>
      </w:r>
    </w:p>
    <w:p w14:paraId="25DFBB14" w14:textId="77777777" w:rsidR="008A4ACA" w:rsidRPr="009715E6" w:rsidRDefault="008A4ACA" w:rsidP="008A4ACA">
      <w:pPr>
        <w:pStyle w:val="Testo2"/>
        <w:tabs>
          <w:tab w:val="left" w:pos="567"/>
        </w:tabs>
        <w:spacing w:line="240" w:lineRule="auto"/>
        <w:ind w:left="426" w:hanging="142"/>
        <w:rPr>
          <w:color w:val="000000" w:themeColor="text1"/>
        </w:rPr>
      </w:pPr>
      <w:r w:rsidRPr="009715E6">
        <w:rPr>
          <w:color w:val="000000" w:themeColor="text1"/>
        </w:rPr>
        <w:t xml:space="preserve">4.1. </w:t>
      </w:r>
      <w:r w:rsidRPr="009715E6">
        <w:rPr>
          <w:color w:val="000000" w:themeColor="text1"/>
        </w:rPr>
        <w:tab/>
        <w:t>Sentenza CG 31 gennaio 1984, cause riunite 286/82 e 26/83, Luisi Carbone (p. 325)</w:t>
      </w:r>
    </w:p>
    <w:p w14:paraId="1318B201" w14:textId="77777777" w:rsidR="008A4ACA" w:rsidRPr="009715E6" w:rsidRDefault="008A4ACA" w:rsidP="008A4ACA">
      <w:pPr>
        <w:pStyle w:val="Testo2"/>
        <w:spacing w:line="240" w:lineRule="auto"/>
        <w:ind w:left="709" w:hanging="709"/>
        <w:rPr>
          <w:color w:val="000000" w:themeColor="text1"/>
          <w:u w:val="single"/>
        </w:rPr>
      </w:pPr>
      <w:r w:rsidRPr="009715E6">
        <w:rPr>
          <w:color w:val="000000" w:themeColor="text1"/>
        </w:rPr>
        <w:t xml:space="preserve">B. </w:t>
      </w:r>
      <w:r w:rsidRPr="009715E6">
        <w:rPr>
          <w:color w:val="000000" w:themeColor="text1"/>
        </w:rPr>
        <w:tab/>
      </w:r>
      <w:r w:rsidRPr="001F2B09">
        <w:rPr>
          <w:color w:val="000000" w:themeColor="text1"/>
        </w:rPr>
        <w:t>L’integrazione negativa e positiva in materia di capitali e di pagamenti</w:t>
      </w:r>
      <w:r w:rsidRPr="009715E6">
        <w:rPr>
          <w:color w:val="000000" w:themeColor="text1"/>
          <w:u w:val="single"/>
        </w:rPr>
        <w:t xml:space="preserve"> </w:t>
      </w:r>
    </w:p>
    <w:p w14:paraId="35718BA2" w14:textId="77777777" w:rsidR="008A4ACA" w:rsidRPr="009715E6" w:rsidRDefault="008A4ACA" w:rsidP="008A4ACA">
      <w:pPr>
        <w:pStyle w:val="Testo2"/>
        <w:tabs>
          <w:tab w:val="left" w:pos="284"/>
          <w:tab w:val="left" w:pos="426"/>
        </w:tabs>
        <w:spacing w:line="240" w:lineRule="auto"/>
        <w:ind w:left="426" w:hanging="142"/>
        <w:rPr>
          <w:color w:val="000000" w:themeColor="text1"/>
        </w:rPr>
      </w:pPr>
      <w:r w:rsidRPr="009715E6">
        <w:rPr>
          <w:color w:val="000000" w:themeColor="text1"/>
        </w:rPr>
        <w:t>2.1.</w:t>
      </w:r>
      <w:r w:rsidRPr="009715E6">
        <w:rPr>
          <w:color w:val="000000" w:themeColor="text1"/>
        </w:rPr>
        <w:tab/>
        <w:t>Sentenza CG 4 giugno 2002, causa C-367/98, Commissione c. Portogallo (golden shares) (p. 330)</w:t>
      </w:r>
    </w:p>
    <w:p w14:paraId="60069353" w14:textId="77777777" w:rsidR="008A4ACA" w:rsidRDefault="008A4ACA" w:rsidP="008A4ACA">
      <w:pPr>
        <w:pStyle w:val="Testo2"/>
        <w:rPr>
          <w:szCs w:val="18"/>
        </w:rPr>
      </w:pPr>
    </w:p>
    <w:p w14:paraId="4E01544E" w14:textId="77777777" w:rsidR="00C928C0" w:rsidRDefault="00C928C0" w:rsidP="00353805">
      <w:pPr>
        <w:pStyle w:val="Testo2"/>
        <w:rPr>
          <w:szCs w:val="18"/>
        </w:rPr>
      </w:pPr>
    </w:p>
    <w:p w14:paraId="477FCA8A" w14:textId="77777777" w:rsidR="00C70980" w:rsidRDefault="00C70980" w:rsidP="002162A1">
      <w:pPr>
        <w:spacing w:before="240" w:after="120"/>
        <w:rPr>
          <w:b/>
          <w:i/>
          <w:sz w:val="18"/>
        </w:rPr>
      </w:pPr>
    </w:p>
    <w:p w14:paraId="1FA8A0BD" w14:textId="77777777" w:rsidR="00C70980" w:rsidRDefault="00C70980" w:rsidP="002162A1">
      <w:pPr>
        <w:spacing w:before="240" w:after="120"/>
        <w:rPr>
          <w:b/>
          <w:i/>
          <w:sz w:val="18"/>
        </w:rPr>
      </w:pPr>
    </w:p>
    <w:p w14:paraId="240C17D8" w14:textId="0C89DB24" w:rsidR="002162A1" w:rsidRDefault="002162A1" w:rsidP="002162A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</w:t>
      </w:r>
      <w:r w:rsidR="00A87866">
        <w:rPr>
          <w:b/>
          <w:i/>
          <w:sz w:val="18"/>
        </w:rPr>
        <w:t xml:space="preserve"> E PREREQUISITI</w:t>
      </w:r>
    </w:p>
    <w:p w14:paraId="7EFB7555" w14:textId="77777777" w:rsidR="00ED3AD1" w:rsidRDefault="004644DA" w:rsidP="002162A1">
      <w:pPr>
        <w:pStyle w:val="Testo2"/>
        <w:rPr>
          <w:sz w:val="16"/>
        </w:rPr>
      </w:pPr>
      <w:r w:rsidRPr="00487145">
        <w:rPr>
          <w:rFonts w:eastAsia="MS Mincho"/>
          <w:bCs/>
          <w:iCs/>
        </w:rPr>
        <w:t xml:space="preserve">Per la frequenza del corso </w:t>
      </w:r>
      <w:r>
        <w:rPr>
          <w:rFonts w:eastAsia="MS Mincho"/>
          <w:bCs/>
          <w:iCs/>
        </w:rPr>
        <w:t>e per sostenere l’esame si richiede una buona conoscenza dei principi fondamentali e delle fonti dell’ordinamento italiano, come quella che si acquisisce con lo studio pregresso del Diritto costituzionale.</w:t>
      </w:r>
    </w:p>
    <w:p w14:paraId="0FD1431B" w14:textId="77777777" w:rsidR="001B541F" w:rsidRDefault="001B541F" w:rsidP="001B541F">
      <w:pPr>
        <w:pStyle w:val="Testo2"/>
        <w:spacing w:before="120"/>
        <w:ind w:firstLine="0"/>
        <w:rPr>
          <w:i/>
        </w:rPr>
      </w:pPr>
    </w:p>
    <w:p w14:paraId="6A0814C9" w14:textId="77777777" w:rsidR="002162A1" w:rsidRPr="002B1C6C" w:rsidRDefault="002B1C6C" w:rsidP="002B1C6C">
      <w:pPr>
        <w:spacing w:before="240" w:after="120"/>
        <w:rPr>
          <w:b/>
          <w:i/>
          <w:sz w:val="18"/>
        </w:rPr>
      </w:pPr>
      <w:r w:rsidRPr="002B1C6C">
        <w:rPr>
          <w:b/>
          <w:i/>
          <w:sz w:val="18"/>
        </w:rPr>
        <w:t>ORARIO E LUOGO DI RICEVIMENTO</w:t>
      </w:r>
    </w:p>
    <w:p w14:paraId="531242C7" w14:textId="77777777" w:rsidR="001B541F" w:rsidRDefault="001B541F" w:rsidP="002162A1">
      <w:pPr>
        <w:pStyle w:val="Testo2"/>
        <w:rPr>
          <w:szCs w:val="18"/>
        </w:rPr>
      </w:pPr>
    </w:p>
    <w:p w14:paraId="7E98AB60" w14:textId="77777777" w:rsidR="002162A1" w:rsidRPr="00636E3E" w:rsidRDefault="00566A52" w:rsidP="002162A1">
      <w:pPr>
        <w:pStyle w:val="Testo2"/>
        <w:rPr>
          <w:szCs w:val="18"/>
        </w:rPr>
      </w:pPr>
      <w:r>
        <w:rPr>
          <w:szCs w:val="18"/>
        </w:rPr>
        <w:t>I Proff.</w:t>
      </w:r>
      <w:r w:rsidR="00D7539A" w:rsidRPr="00636E3E">
        <w:rPr>
          <w:szCs w:val="18"/>
        </w:rPr>
        <w:t xml:space="preserve"> Chiara Marenghi</w:t>
      </w:r>
      <w:r w:rsidR="002162A1" w:rsidRPr="00636E3E">
        <w:rPr>
          <w:szCs w:val="18"/>
        </w:rPr>
        <w:t xml:space="preserve"> </w:t>
      </w:r>
      <w:r>
        <w:rPr>
          <w:szCs w:val="18"/>
        </w:rPr>
        <w:t>e Matteo Manfredi ricevono</w:t>
      </w:r>
      <w:r w:rsidR="002162A1" w:rsidRPr="00636E3E">
        <w:rPr>
          <w:szCs w:val="18"/>
        </w:rPr>
        <w:t xml:space="preserve"> gli studenti </w:t>
      </w:r>
      <w:r w:rsidR="00D134F6" w:rsidRPr="00636E3E">
        <w:rPr>
          <w:szCs w:val="18"/>
        </w:rPr>
        <w:t xml:space="preserve">nell’orario e nel luogo indicati </w:t>
      </w:r>
      <w:r w:rsidR="00ED3AD1" w:rsidRPr="00636E3E">
        <w:rPr>
          <w:szCs w:val="18"/>
        </w:rPr>
        <w:t xml:space="preserve">all’inizio dell’anno </w:t>
      </w:r>
      <w:r w:rsidR="00D134F6" w:rsidRPr="00636E3E">
        <w:rPr>
          <w:szCs w:val="18"/>
        </w:rPr>
        <w:t xml:space="preserve">nella </w:t>
      </w:r>
      <w:r>
        <w:rPr>
          <w:szCs w:val="18"/>
        </w:rPr>
        <w:t xml:space="preserve">loro </w:t>
      </w:r>
      <w:r w:rsidR="00D134F6" w:rsidRPr="00636E3E">
        <w:rPr>
          <w:szCs w:val="18"/>
        </w:rPr>
        <w:t>Pagina pers</w:t>
      </w:r>
      <w:r w:rsidR="00ED3AD1" w:rsidRPr="00636E3E">
        <w:rPr>
          <w:szCs w:val="18"/>
        </w:rPr>
        <w:t>onale docente,</w:t>
      </w:r>
      <w:r w:rsidRPr="00566A52">
        <w:t xml:space="preserve"> </w:t>
      </w:r>
      <w:r>
        <w:t>previo</w:t>
      </w:r>
      <w:r w:rsidRPr="00E2519A">
        <w:t xml:space="preserve"> appuntamento via e</w:t>
      </w:r>
      <w:r>
        <w:t>-</w:t>
      </w:r>
      <w:r w:rsidRPr="00E2519A">
        <w:t>mail</w:t>
      </w:r>
      <w:r>
        <w:t>, ovvero mediante sistemi di videoconferenza</w:t>
      </w:r>
      <w:r w:rsidR="00ED3AD1" w:rsidRPr="00636E3E">
        <w:rPr>
          <w:szCs w:val="18"/>
        </w:rPr>
        <w:t>.</w:t>
      </w:r>
    </w:p>
    <w:p w14:paraId="41F36EF9" w14:textId="77777777" w:rsidR="006C3575" w:rsidRPr="00826841" w:rsidRDefault="006C3575">
      <w:pPr>
        <w:rPr>
          <w:szCs w:val="20"/>
        </w:rPr>
      </w:pPr>
    </w:p>
    <w:sectPr w:rsidR="006C3575" w:rsidRPr="00826841" w:rsidSect="009E5FA6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B6617"/>
    <w:multiLevelType w:val="hybridMultilevel"/>
    <w:tmpl w:val="3E40911C"/>
    <w:lvl w:ilvl="0" w:tplc="28CA3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963F3"/>
    <w:multiLevelType w:val="hybridMultilevel"/>
    <w:tmpl w:val="36640964"/>
    <w:lvl w:ilvl="0" w:tplc="28268B8C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8713932">
    <w:abstractNumId w:val="0"/>
  </w:num>
  <w:num w:numId="2" w16cid:durableId="389764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A0"/>
    <w:rsid w:val="00036D78"/>
    <w:rsid w:val="000838D0"/>
    <w:rsid w:val="00096869"/>
    <w:rsid w:val="000B78D0"/>
    <w:rsid w:val="00110558"/>
    <w:rsid w:val="00192D6C"/>
    <w:rsid w:val="001B1C19"/>
    <w:rsid w:val="001B541F"/>
    <w:rsid w:val="001C32F4"/>
    <w:rsid w:val="001C4191"/>
    <w:rsid w:val="001F2B09"/>
    <w:rsid w:val="002162A1"/>
    <w:rsid w:val="00233A2F"/>
    <w:rsid w:val="00254F64"/>
    <w:rsid w:val="00261535"/>
    <w:rsid w:val="00265631"/>
    <w:rsid w:val="002953CC"/>
    <w:rsid w:val="00296EB1"/>
    <w:rsid w:val="002B1C6C"/>
    <w:rsid w:val="002E3E99"/>
    <w:rsid w:val="002E763D"/>
    <w:rsid w:val="00306E84"/>
    <w:rsid w:val="0031046C"/>
    <w:rsid w:val="00323463"/>
    <w:rsid w:val="0033560E"/>
    <w:rsid w:val="00342EE6"/>
    <w:rsid w:val="00353805"/>
    <w:rsid w:val="003D2F27"/>
    <w:rsid w:val="003D579D"/>
    <w:rsid w:val="004573E2"/>
    <w:rsid w:val="004644DA"/>
    <w:rsid w:val="00487414"/>
    <w:rsid w:val="004B6BF3"/>
    <w:rsid w:val="004F78A3"/>
    <w:rsid w:val="005326D1"/>
    <w:rsid w:val="0053679E"/>
    <w:rsid w:val="00551B14"/>
    <w:rsid w:val="00556137"/>
    <w:rsid w:val="00566A52"/>
    <w:rsid w:val="00587D7F"/>
    <w:rsid w:val="005918C0"/>
    <w:rsid w:val="00636B90"/>
    <w:rsid w:val="00636E3E"/>
    <w:rsid w:val="00655BC5"/>
    <w:rsid w:val="00684228"/>
    <w:rsid w:val="00685B73"/>
    <w:rsid w:val="00687C17"/>
    <w:rsid w:val="006A13ED"/>
    <w:rsid w:val="006C3575"/>
    <w:rsid w:val="006C5E35"/>
    <w:rsid w:val="006F25DF"/>
    <w:rsid w:val="00720BFD"/>
    <w:rsid w:val="00721015"/>
    <w:rsid w:val="007321BC"/>
    <w:rsid w:val="00735DE2"/>
    <w:rsid w:val="00753725"/>
    <w:rsid w:val="007801F0"/>
    <w:rsid w:val="00793A66"/>
    <w:rsid w:val="007A2A51"/>
    <w:rsid w:val="007A3598"/>
    <w:rsid w:val="007E26A0"/>
    <w:rsid w:val="00825E20"/>
    <w:rsid w:val="00826841"/>
    <w:rsid w:val="00850516"/>
    <w:rsid w:val="00884287"/>
    <w:rsid w:val="0089219E"/>
    <w:rsid w:val="008A4ACA"/>
    <w:rsid w:val="008E588A"/>
    <w:rsid w:val="00925B32"/>
    <w:rsid w:val="009734DD"/>
    <w:rsid w:val="00993B66"/>
    <w:rsid w:val="009B17F6"/>
    <w:rsid w:val="009C66A2"/>
    <w:rsid w:val="009C66BE"/>
    <w:rsid w:val="009D2F11"/>
    <w:rsid w:val="009E5FA6"/>
    <w:rsid w:val="009E61BE"/>
    <w:rsid w:val="00A15853"/>
    <w:rsid w:val="00A341DF"/>
    <w:rsid w:val="00A82F88"/>
    <w:rsid w:val="00A87866"/>
    <w:rsid w:val="00A97221"/>
    <w:rsid w:val="00AC33DC"/>
    <w:rsid w:val="00B00569"/>
    <w:rsid w:val="00B4075D"/>
    <w:rsid w:val="00B841CC"/>
    <w:rsid w:val="00BF6E89"/>
    <w:rsid w:val="00C37617"/>
    <w:rsid w:val="00C522A5"/>
    <w:rsid w:val="00C70980"/>
    <w:rsid w:val="00C928C0"/>
    <w:rsid w:val="00CD3ED4"/>
    <w:rsid w:val="00CD6DC0"/>
    <w:rsid w:val="00CF1252"/>
    <w:rsid w:val="00D02365"/>
    <w:rsid w:val="00D134F6"/>
    <w:rsid w:val="00D156AA"/>
    <w:rsid w:val="00D1719A"/>
    <w:rsid w:val="00D36BC3"/>
    <w:rsid w:val="00D44598"/>
    <w:rsid w:val="00D53458"/>
    <w:rsid w:val="00D7539A"/>
    <w:rsid w:val="00D9400A"/>
    <w:rsid w:val="00E00B33"/>
    <w:rsid w:val="00E04C41"/>
    <w:rsid w:val="00E165BE"/>
    <w:rsid w:val="00E567CD"/>
    <w:rsid w:val="00E63678"/>
    <w:rsid w:val="00E818F2"/>
    <w:rsid w:val="00E9048E"/>
    <w:rsid w:val="00E9759F"/>
    <w:rsid w:val="00EA5DA3"/>
    <w:rsid w:val="00ED12C9"/>
    <w:rsid w:val="00ED3AD1"/>
    <w:rsid w:val="00F0542A"/>
    <w:rsid w:val="00F12AC0"/>
    <w:rsid w:val="00F43B13"/>
    <w:rsid w:val="00FA2D4A"/>
    <w:rsid w:val="00FB479A"/>
    <w:rsid w:val="00FC3FE4"/>
    <w:rsid w:val="00FD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F874"/>
  <w15:docId w15:val="{BA9DB318-627A-4F51-86DB-396FEA1B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62A1"/>
    <w:pPr>
      <w:spacing w:after="0"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2162A1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2162A1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162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162A1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162A1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2162A1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link w:val="Testo2Carattere"/>
    <w:uiPriority w:val="99"/>
    <w:rsid w:val="002162A1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162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838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D3AD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3AD1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2E3E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3E99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3E99"/>
    <w:rPr>
      <w:rFonts w:ascii="Times New Roman" w:eastAsia="MS Mincho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3E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3E99"/>
    <w:rPr>
      <w:rFonts w:ascii="Times New Roman" w:eastAsia="MS Mincho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E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E99"/>
    <w:rPr>
      <w:rFonts w:ascii="Segoe UI" w:eastAsia="MS Mincho" w:hAnsi="Segoe UI" w:cs="Segoe UI"/>
      <w:sz w:val="18"/>
      <w:szCs w:val="18"/>
      <w:lang w:eastAsia="it-IT"/>
    </w:rPr>
  </w:style>
  <w:style w:type="character" w:customStyle="1" w:styleId="Testo2Carattere">
    <w:name w:val="Testo 2 Carattere"/>
    <w:link w:val="Testo2"/>
    <w:uiPriority w:val="99"/>
    <w:locked/>
    <w:rsid w:val="00C928C0"/>
    <w:rPr>
      <w:rFonts w:ascii="Times" w:eastAsia="Times New Roman" w:hAnsi="Times" w:cs="Times New Roman"/>
      <w:noProof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amedeo-arena-francesco-bestagno-giulia-rossolillo/mercato-unico-e-liberta-di-circolazione-nellunione-europea-9788892133341-683168.html" TargetMode="External"/><Relationship Id="rId5" Type="http://schemas.openxmlformats.org/officeDocument/2006/relationships/hyperlink" Target="https://librerie.unicatt.it/scheda-libro/ugo-draetta-francesco-bestagno-andrea-santini/elementi-di-diritto-dellunione-europea-parte-istituzionale-ordinamento-e-struttura-dellunione-europea-9788828805007-552849.html?search_string=draetta%20Elementi%20di%20diritto%20dell%E2%80%99Unione%20Europea&amp;search_result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Marenghi</dc:creator>
  <cp:lastModifiedBy>Marenghi Chiara (chiara.marenghi)</cp:lastModifiedBy>
  <cp:revision>3</cp:revision>
  <dcterms:created xsi:type="dcterms:W3CDTF">2023-06-12T12:58:00Z</dcterms:created>
  <dcterms:modified xsi:type="dcterms:W3CDTF">2023-06-12T13:26:00Z</dcterms:modified>
</cp:coreProperties>
</file>