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8FC2" w14:textId="20586C7E" w:rsidR="00BF6185" w:rsidRPr="00D751B4" w:rsidRDefault="00AA2DB9">
      <w:pPr>
        <w:pStyle w:val="Titolo1"/>
        <w:rPr>
          <w:sz w:val="24"/>
          <w:szCs w:val="24"/>
        </w:rPr>
      </w:pPr>
      <w:r w:rsidRPr="00D751B4">
        <w:rPr>
          <w:sz w:val="24"/>
          <w:szCs w:val="24"/>
        </w:rPr>
        <w:t>Tecnologie della Conservazione e del Confezionamento</w:t>
      </w:r>
    </w:p>
    <w:p w14:paraId="59B65829" w14:textId="77777777" w:rsidR="00D751B4" w:rsidRDefault="00D751B4" w:rsidP="00AA2DB9">
      <w:pPr>
        <w:pStyle w:val="Titolo2"/>
      </w:pPr>
    </w:p>
    <w:p w14:paraId="6AB3296E" w14:textId="6481F22A" w:rsidR="00D751B4" w:rsidRDefault="00D751B4" w:rsidP="00AA2DB9">
      <w:pPr>
        <w:pStyle w:val="Titolo2"/>
      </w:pPr>
      <w:r>
        <w:rPr>
          <w:rFonts w:cs="Times"/>
          <w:b/>
          <w:sz w:val="24"/>
          <w:szCs w:val="24"/>
        </w:rPr>
        <w:t>a.a. 202</w:t>
      </w:r>
      <w:r w:rsidR="00945DED">
        <w:rPr>
          <w:rFonts w:cs="Times"/>
          <w:b/>
          <w:sz w:val="24"/>
          <w:szCs w:val="24"/>
        </w:rPr>
        <w:t>3</w:t>
      </w:r>
      <w:r>
        <w:rPr>
          <w:rFonts w:cs="Times"/>
          <w:b/>
          <w:sz w:val="24"/>
          <w:szCs w:val="24"/>
        </w:rPr>
        <w:t>/202</w:t>
      </w:r>
      <w:r w:rsidR="00945DED">
        <w:rPr>
          <w:rFonts w:cs="Times"/>
          <w:b/>
          <w:sz w:val="24"/>
          <w:szCs w:val="24"/>
        </w:rPr>
        <w:t>4</w:t>
      </w:r>
    </w:p>
    <w:p w14:paraId="491EF54B" w14:textId="77777777" w:rsidR="00D751B4" w:rsidRDefault="00D751B4" w:rsidP="00AA2DB9">
      <w:pPr>
        <w:pStyle w:val="Titolo2"/>
      </w:pPr>
    </w:p>
    <w:p w14:paraId="059CC89E" w14:textId="1143723C" w:rsidR="00AA2DB9" w:rsidRPr="000B5AA9" w:rsidRDefault="00AA2DB9" w:rsidP="00AA2DB9">
      <w:pPr>
        <w:pStyle w:val="Titolo2"/>
      </w:pPr>
      <w:r w:rsidRPr="000B5AA9">
        <w:t xml:space="preserve">Prof. </w:t>
      </w:r>
      <w:r w:rsidR="00945DED">
        <w:t>Giorgia Spigno</w:t>
      </w:r>
    </w:p>
    <w:p w14:paraId="6AC8FF48" w14:textId="77777777" w:rsidR="00AA2DB9" w:rsidRPr="000B5AA9" w:rsidRDefault="00AA2DB9" w:rsidP="00AA2DB9">
      <w:pPr>
        <w:spacing w:before="240" w:after="120"/>
        <w:rPr>
          <w:b/>
          <w:sz w:val="18"/>
        </w:rPr>
      </w:pPr>
      <w:r w:rsidRPr="000B5AA9">
        <w:rPr>
          <w:b/>
          <w:i/>
          <w:sz w:val="18"/>
        </w:rPr>
        <w:t>OBIETTIVO DEL CORSO</w:t>
      </w:r>
      <w:r w:rsidR="00B94CE3">
        <w:rPr>
          <w:b/>
          <w:i/>
          <w:sz w:val="18"/>
        </w:rPr>
        <w:t xml:space="preserve"> E RISULTATI DI APPRENDIMENTO ATTESI</w:t>
      </w:r>
    </w:p>
    <w:p w14:paraId="3BF65B9A" w14:textId="77777777" w:rsidR="00AA2DB9" w:rsidRPr="000B5AA9" w:rsidRDefault="00AA2DB9" w:rsidP="00AA2DB9">
      <w:r w:rsidRPr="000B5AA9">
        <w:tab/>
      </w:r>
      <w:r w:rsidR="00475F7C">
        <w:t>L’insegnamento si propone di f</w:t>
      </w:r>
      <w:r w:rsidRPr="000B5AA9">
        <w:t xml:space="preserve">ornire conoscenze sui materiali </w:t>
      </w:r>
      <w:r w:rsidR="00475F7C">
        <w:t xml:space="preserve">di confezionamento </w:t>
      </w:r>
      <w:r w:rsidR="00B94CE3">
        <w:t xml:space="preserve">tradizionali e più innovativi </w:t>
      </w:r>
      <w:r w:rsidRPr="000B5AA9">
        <w:t xml:space="preserve">e sulle tecnologie della conservazione e del confezionamento dei prodotti agro-alimentari e sulle normative vigenti inerenti </w:t>
      </w:r>
      <w:r w:rsidR="00B94CE3">
        <w:t>l’idoneità</w:t>
      </w:r>
      <w:r w:rsidR="00475F7C">
        <w:t xml:space="preserve"> di materiali e oggetti per il contatto </w:t>
      </w:r>
      <w:r w:rsidR="00B94CE3">
        <w:t>con alimenti,</w:t>
      </w:r>
      <w:r w:rsidR="00475F7C">
        <w:t xml:space="preserve"> nonché l’etichettatura dei </w:t>
      </w:r>
      <w:r w:rsidRPr="000B5AA9">
        <w:t>prodotti</w:t>
      </w:r>
      <w:r w:rsidR="00475F7C">
        <w:t xml:space="preserve"> alimentari</w:t>
      </w:r>
      <w:r w:rsidRPr="000B5AA9">
        <w:t>.</w:t>
      </w:r>
    </w:p>
    <w:p w14:paraId="7524F2E4" w14:textId="77777777" w:rsidR="00BB653A" w:rsidRPr="000B5AA9" w:rsidRDefault="00AA2DB9" w:rsidP="00AA2DB9">
      <w:r w:rsidRPr="000B5AA9">
        <w:tab/>
      </w:r>
      <w:r w:rsidR="00B94CE3">
        <w:t xml:space="preserve">Al termine dell’insegnamento lo studente avrà acquisito le </w:t>
      </w:r>
      <w:r w:rsidRPr="000B5AA9">
        <w:t>conoscenze procedurali e metodologiche per individuare le ope</w:t>
      </w:r>
      <w:r w:rsidR="00F351CB" w:rsidRPr="000B5AA9">
        <w:t xml:space="preserve">razioni analitiche da eseguire </w:t>
      </w:r>
      <w:r w:rsidRPr="000B5AA9">
        <w:t>al fine di verificare la rispondenza ai requisiti tecnologici, qualitativi e normativi dei materiali destinati al contatto con gli alimenti</w:t>
      </w:r>
      <w:r w:rsidR="00B94CE3">
        <w:t xml:space="preserve">; insieme alle </w:t>
      </w:r>
      <w:r w:rsidR="00BB653A" w:rsidRPr="000B5AA9">
        <w:t>conoscenze adeguate per</w:t>
      </w:r>
      <w:r w:rsidR="007961B1">
        <w:t xml:space="preserve"> </w:t>
      </w:r>
      <w:r w:rsidR="00BB653A" w:rsidRPr="000B5AA9">
        <w:t>la</w:t>
      </w:r>
      <w:r w:rsidR="007961B1">
        <w:t xml:space="preserve"> </w:t>
      </w:r>
      <w:r w:rsidR="00BB653A" w:rsidRPr="000B5AA9">
        <w:t>valutazione della shelf-life degli alimenti</w:t>
      </w:r>
      <w:r w:rsidR="00B94CE3">
        <w:t xml:space="preserve"> in funzione delle caratteristiche ed esigenze del prodotto, delle proprietà del materiale di confezionamento e delle condizioni di conservazione</w:t>
      </w:r>
      <w:r w:rsidR="00BB653A" w:rsidRPr="000B5AA9">
        <w:t>.</w:t>
      </w:r>
    </w:p>
    <w:p w14:paraId="25870DC4" w14:textId="256BC670" w:rsidR="00AA2DB9" w:rsidRPr="005173F3" w:rsidRDefault="00AA2DB9" w:rsidP="00AA2DB9">
      <w:r w:rsidRPr="000B5AA9">
        <w:t xml:space="preserve">Le competenze acquisite consentiranno agli studenti di effettuare e indirizzare scelte idonee a soddisfare le esigenze qualitative e funzionali richieste al packaging dei prodotti alimentari al fine di garantire </w:t>
      </w:r>
      <w:r w:rsidR="00BB653A" w:rsidRPr="000B5AA9">
        <w:t xml:space="preserve">e migliorare </w:t>
      </w:r>
      <w:r w:rsidRPr="000B5AA9">
        <w:t>la shelf</w:t>
      </w:r>
      <w:r w:rsidR="00BB653A" w:rsidRPr="000B5AA9">
        <w:t>-</w:t>
      </w:r>
      <w:r w:rsidRPr="000B5AA9">
        <w:t>life del prodotto, la sicurezza del consumatore e la sostenibilità ambientale.</w:t>
      </w:r>
    </w:p>
    <w:p w14:paraId="4927D246" w14:textId="77777777" w:rsidR="00AA2DB9" w:rsidRDefault="00AA2DB9" w:rsidP="00AA2DB9">
      <w:pPr>
        <w:spacing w:before="240" w:after="120"/>
        <w:rPr>
          <w:b/>
          <w:sz w:val="18"/>
        </w:rPr>
      </w:pPr>
      <w:r>
        <w:rPr>
          <w:b/>
          <w:i/>
          <w:sz w:val="18"/>
        </w:rPr>
        <w:t>PROGRAMMA DEL CORSO</w:t>
      </w:r>
    </w:p>
    <w:p w14:paraId="17BA9881" w14:textId="77777777" w:rsidR="00D10E70" w:rsidRDefault="00D10E70" w:rsidP="00AA2DB9"/>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2"/>
        <w:gridCol w:w="1118"/>
      </w:tblGrid>
      <w:tr w:rsidR="00D10E70" w:rsidRPr="00D10E70" w14:paraId="40CEA239" w14:textId="77777777" w:rsidTr="003042E0">
        <w:tc>
          <w:tcPr>
            <w:tcW w:w="5572" w:type="dxa"/>
            <w:shd w:val="clear" w:color="auto" w:fill="auto"/>
          </w:tcPr>
          <w:p w14:paraId="6C7954DE" w14:textId="77777777" w:rsidR="00D10E70" w:rsidRPr="00D10E70" w:rsidRDefault="00D10E70" w:rsidP="00D10E70">
            <w:pPr>
              <w:tabs>
                <w:tab w:val="clear" w:pos="284"/>
              </w:tabs>
              <w:spacing w:line="240" w:lineRule="auto"/>
              <w:rPr>
                <w:rFonts w:ascii="Times New Roman" w:hAnsi="Times New Roman"/>
                <w:sz w:val="24"/>
                <w:szCs w:val="24"/>
              </w:rPr>
            </w:pPr>
          </w:p>
        </w:tc>
        <w:tc>
          <w:tcPr>
            <w:tcW w:w="1118" w:type="dxa"/>
            <w:shd w:val="clear" w:color="auto" w:fill="auto"/>
          </w:tcPr>
          <w:p w14:paraId="05B9B7D9" w14:textId="77777777" w:rsidR="00D10E70" w:rsidRPr="00B00E43" w:rsidRDefault="00D10E70" w:rsidP="00D10E70">
            <w:pPr>
              <w:tabs>
                <w:tab w:val="clear" w:pos="284"/>
              </w:tabs>
              <w:spacing w:line="240" w:lineRule="auto"/>
              <w:rPr>
                <w:rFonts w:ascii="Times New Roman" w:hAnsi="Times New Roman"/>
              </w:rPr>
            </w:pPr>
            <w:r w:rsidRPr="00B00E43">
              <w:rPr>
                <w:rFonts w:ascii="Times New Roman" w:hAnsi="Times New Roman"/>
              </w:rPr>
              <w:t>CFU</w:t>
            </w:r>
          </w:p>
        </w:tc>
      </w:tr>
      <w:tr w:rsidR="00D10E70" w:rsidRPr="00D10E70" w14:paraId="247205EA" w14:textId="77777777" w:rsidTr="003042E0">
        <w:tc>
          <w:tcPr>
            <w:tcW w:w="5572" w:type="dxa"/>
            <w:shd w:val="clear" w:color="auto" w:fill="auto"/>
          </w:tcPr>
          <w:p w14:paraId="52324CDB" w14:textId="0DE63535" w:rsidR="00D10E70" w:rsidRPr="00B00E43" w:rsidRDefault="003042E0" w:rsidP="00D10E70">
            <w:pPr>
              <w:tabs>
                <w:tab w:val="clear" w:pos="284"/>
              </w:tabs>
              <w:spacing w:line="240" w:lineRule="auto"/>
              <w:rPr>
                <w:rFonts w:ascii="Times New Roman" w:hAnsi="Times New Roman"/>
                <w:b/>
              </w:rPr>
            </w:pPr>
            <w:r>
              <w:rPr>
                <w:rFonts w:ascii="Times New Roman" w:hAnsi="Times New Roman"/>
                <w:b/>
              </w:rPr>
              <w:t>Sistemi di</w:t>
            </w:r>
            <w:r w:rsidR="00D10E70" w:rsidRPr="00B00E43">
              <w:rPr>
                <w:rFonts w:ascii="Times New Roman" w:hAnsi="Times New Roman"/>
                <w:b/>
              </w:rPr>
              <w:t xml:space="preserve"> confezionamento</w:t>
            </w:r>
          </w:p>
        </w:tc>
        <w:tc>
          <w:tcPr>
            <w:tcW w:w="1118" w:type="dxa"/>
            <w:shd w:val="clear" w:color="auto" w:fill="auto"/>
          </w:tcPr>
          <w:p w14:paraId="6EBB59D4" w14:textId="77777777" w:rsidR="00D10E70" w:rsidRPr="00D10E70" w:rsidRDefault="00D10E70" w:rsidP="00D10E70">
            <w:pPr>
              <w:tabs>
                <w:tab w:val="clear" w:pos="284"/>
              </w:tabs>
              <w:spacing w:line="240" w:lineRule="auto"/>
              <w:rPr>
                <w:rFonts w:ascii="Times New Roman" w:hAnsi="Times New Roman"/>
                <w:sz w:val="24"/>
                <w:szCs w:val="24"/>
              </w:rPr>
            </w:pPr>
          </w:p>
        </w:tc>
      </w:tr>
      <w:tr w:rsidR="00D10E70" w:rsidRPr="00D10E70" w14:paraId="6F4297BE" w14:textId="77777777" w:rsidTr="003042E0">
        <w:tc>
          <w:tcPr>
            <w:tcW w:w="5572" w:type="dxa"/>
            <w:shd w:val="clear" w:color="auto" w:fill="auto"/>
          </w:tcPr>
          <w:p w14:paraId="4559AB10" w14:textId="2E8ED55F" w:rsidR="00D10E70" w:rsidRPr="00B00E43" w:rsidRDefault="00D10E70" w:rsidP="000B5AA9">
            <w:pPr>
              <w:tabs>
                <w:tab w:val="clear" w:pos="284"/>
              </w:tabs>
              <w:spacing w:line="240" w:lineRule="auto"/>
            </w:pPr>
            <w:r w:rsidRPr="00B00E43">
              <w:t>Finalità e caratteristiche. Proprietà chimiche e fisiche</w:t>
            </w:r>
            <w:r w:rsidR="00BB653A">
              <w:t xml:space="preserve"> </w:t>
            </w:r>
            <w:r w:rsidRPr="00B00E43">
              <w:t>dei materiali di packaging. Sistematica dei materiali e degli oggetti per il packaging alimentare. Imballaggi rigidi e flessibili. Imballaggi ecosostenibili</w:t>
            </w:r>
            <w:r w:rsidR="003042E0">
              <w:t xml:space="preserve">. </w:t>
            </w:r>
            <w:r w:rsidR="003042E0" w:rsidRPr="00B00E43">
              <w:t xml:space="preserve">Tecnologie della conservazione e del confezionamento Materiali e tecnologie di packaging di </w:t>
            </w:r>
            <w:r w:rsidR="003042E0">
              <w:t xml:space="preserve">nuova concezione. Innovazioni e </w:t>
            </w:r>
            <w:r w:rsidR="003042E0" w:rsidRPr="00B00E43">
              <w:t>problematiche</w:t>
            </w:r>
            <w:r w:rsidR="003042E0">
              <w:t>.</w:t>
            </w:r>
          </w:p>
        </w:tc>
        <w:tc>
          <w:tcPr>
            <w:tcW w:w="1118" w:type="dxa"/>
            <w:shd w:val="clear" w:color="auto" w:fill="auto"/>
          </w:tcPr>
          <w:p w14:paraId="1C04627A" w14:textId="77777777" w:rsidR="00D10E70" w:rsidRPr="00B00E43" w:rsidRDefault="00D10E70" w:rsidP="00BB653A">
            <w:pPr>
              <w:tabs>
                <w:tab w:val="clear" w:pos="284"/>
              </w:tabs>
              <w:spacing w:line="240" w:lineRule="auto"/>
            </w:pPr>
            <w:r w:rsidRPr="000B5AA9">
              <w:t>1.</w:t>
            </w:r>
            <w:r w:rsidR="007961B1">
              <w:t>5</w:t>
            </w:r>
          </w:p>
        </w:tc>
      </w:tr>
      <w:tr w:rsidR="00D10E70" w:rsidRPr="00D10E70" w14:paraId="0620ED30" w14:textId="77777777" w:rsidTr="003042E0">
        <w:tc>
          <w:tcPr>
            <w:tcW w:w="5572" w:type="dxa"/>
            <w:shd w:val="clear" w:color="auto" w:fill="auto"/>
          </w:tcPr>
          <w:p w14:paraId="2BCB8DD7" w14:textId="3FB87AE0" w:rsidR="00D10E70" w:rsidRPr="00D10E70" w:rsidRDefault="00D10E70" w:rsidP="000B5AA9">
            <w:pPr>
              <w:tabs>
                <w:tab w:val="clear" w:pos="284"/>
              </w:tabs>
              <w:spacing w:line="240" w:lineRule="auto"/>
              <w:rPr>
                <w:rFonts w:ascii="Times New Roman" w:hAnsi="Times New Roman"/>
                <w:b/>
                <w:sz w:val="24"/>
                <w:szCs w:val="24"/>
              </w:rPr>
            </w:pPr>
            <w:r w:rsidRPr="00B00E43">
              <w:rPr>
                <w:rFonts w:ascii="Times New Roman" w:hAnsi="Times New Roman"/>
                <w:b/>
              </w:rPr>
              <w:t>Shelf-life degli alimenti</w:t>
            </w:r>
            <w:r w:rsidR="008D6598">
              <w:rPr>
                <w:rFonts w:ascii="Times New Roman" w:hAnsi="Times New Roman"/>
                <w:b/>
              </w:rPr>
              <w:t xml:space="preserve"> e legislazione</w:t>
            </w:r>
          </w:p>
        </w:tc>
        <w:tc>
          <w:tcPr>
            <w:tcW w:w="1118" w:type="dxa"/>
            <w:shd w:val="clear" w:color="auto" w:fill="auto"/>
          </w:tcPr>
          <w:p w14:paraId="3B0D3E6F" w14:textId="77777777" w:rsidR="00D10E70" w:rsidRPr="00D10E70" w:rsidRDefault="00D10E70" w:rsidP="00D10E70">
            <w:pPr>
              <w:tabs>
                <w:tab w:val="clear" w:pos="284"/>
              </w:tabs>
              <w:spacing w:line="240" w:lineRule="auto"/>
              <w:rPr>
                <w:rFonts w:ascii="Times New Roman" w:hAnsi="Times New Roman"/>
                <w:sz w:val="24"/>
                <w:szCs w:val="24"/>
              </w:rPr>
            </w:pPr>
          </w:p>
        </w:tc>
      </w:tr>
      <w:tr w:rsidR="00D10E70" w:rsidRPr="00D10E70" w14:paraId="63A95DA5" w14:textId="77777777" w:rsidTr="003042E0">
        <w:tc>
          <w:tcPr>
            <w:tcW w:w="5572" w:type="dxa"/>
            <w:shd w:val="clear" w:color="auto" w:fill="auto"/>
          </w:tcPr>
          <w:p w14:paraId="172B9F55" w14:textId="77777777" w:rsidR="00D10E70" w:rsidRDefault="00D10E70" w:rsidP="00BB653A">
            <w:pPr>
              <w:tabs>
                <w:tab w:val="clear" w:pos="284"/>
              </w:tabs>
              <w:spacing w:line="240" w:lineRule="auto"/>
            </w:pPr>
            <w:r w:rsidRPr="000B5AA9">
              <w:t>Definizioni, problematiche</w:t>
            </w:r>
            <w:r w:rsidR="00BB653A" w:rsidRPr="000B5AA9">
              <w:t>, approcci previsionali e simulativi,</w:t>
            </w:r>
            <w:r w:rsidRPr="000B5AA9">
              <w:t xml:space="preserve"> casi studio</w:t>
            </w:r>
            <w:r w:rsidR="008D6598">
              <w:t>.</w:t>
            </w:r>
          </w:p>
          <w:p w14:paraId="3837FB24" w14:textId="4303E8F6" w:rsidR="008D6598" w:rsidRPr="000B5AA9" w:rsidRDefault="008D6598" w:rsidP="00BB653A">
            <w:pPr>
              <w:tabs>
                <w:tab w:val="clear" w:pos="284"/>
              </w:tabs>
              <w:spacing w:line="240" w:lineRule="auto"/>
              <w:rPr>
                <w:rFonts w:ascii="Times New Roman" w:hAnsi="Times New Roman"/>
                <w:sz w:val="24"/>
                <w:szCs w:val="24"/>
              </w:rPr>
            </w:pPr>
            <w:r w:rsidRPr="00B00E43">
              <w:lastRenderedPageBreak/>
              <w:t>Normative nazionali e comunitarie inerenti i materiali a contatto con gli alimenti e l’etichettatura</w:t>
            </w:r>
          </w:p>
        </w:tc>
        <w:tc>
          <w:tcPr>
            <w:tcW w:w="1118" w:type="dxa"/>
            <w:shd w:val="clear" w:color="auto" w:fill="auto"/>
          </w:tcPr>
          <w:p w14:paraId="56AA7077" w14:textId="1B81DDE7" w:rsidR="00D10E70" w:rsidRPr="000B5AA9" w:rsidRDefault="00CA1F65" w:rsidP="00BB653A">
            <w:pPr>
              <w:tabs>
                <w:tab w:val="clear" w:pos="284"/>
              </w:tabs>
              <w:spacing w:line="240" w:lineRule="auto"/>
              <w:rPr>
                <w:rFonts w:ascii="Times New Roman" w:hAnsi="Times New Roman"/>
              </w:rPr>
            </w:pPr>
            <w:r>
              <w:rPr>
                <w:rFonts w:ascii="Times New Roman" w:hAnsi="Times New Roman"/>
              </w:rPr>
              <w:lastRenderedPageBreak/>
              <w:t>2</w:t>
            </w:r>
            <w:r w:rsidR="00D10E70" w:rsidRPr="000B5AA9">
              <w:rPr>
                <w:rFonts w:ascii="Times New Roman" w:hAnsi="Times New Roman"/>
              </w:rPr>
              <w:t>.</w:t>
            </w:r>
            <w:r w:rsidR="008D6598">
              <w:rPr>
                <w:rFonts w:ascii="Times New Roman" w:hAnsi="Times New Roman"/>
              </w:rPr>
              <w:t>5</w:t>
            </w:r>
          </w:p>
        </w:tc>
      </w:tr>
      <w:tr w:rsidR="00D10E70" w:rsidRPr="00D10E70" w14:paraId="1A63C3BE" w14:textId="77777777" w:rsidTr="003042E0">
        <w:tc>
          <w:tcPr>
            <w:tcW w:w="5572" w:type="dxa"/>
            <w:shd w:val="clear" w:color="auto" w:fill="auto"/>
          </w:tcPr>
          <w:p w14:paraId="31436115" w14:textId="77777777" w:rsidR="00D10E70" w:rsidRPr="00C655B2" w:rsidRDefault="00D10E70" w:rsidP="00B00E43">
            <w:pPr>
              <w:tabs>
                <w:tab w:val="clear" w:pos="284"/>
              </w:tabs>
              <w:spacing w:line="240" w:lineRule="auto"/>
              <w:rPr>
                <w:rFonts w:ascii="Times New Roman" w:hAnsi="Times New Roman"/>
                <w:b/>
                <w:sz w:val="24"/>
                <w:szCs w:val="24"/>
              </w:rPr>
            </w:pPr>
            <w:r w:rsidRPr="00B00E43">
              <w:rPr>
                <w:rFonts w:ascii="Times New Roman" w:hAnsi="Times New Roman"/>
                <w:b/>
              </w:rPr>
              <w:t>Esercitazioni</w:t>
            </w:r>
          </w:p>
        </w:tc>
        <w:tc>
          <w:tcPr>
            <w:tcW w:w="1118" w:type="dxa"/>
            <w:shd w:val="clear" w:color="auto" w:fill="auto"/>
          </w:tcPr>
          <w:p w14:paraId="00F03667" w14:textId="77777777" w:rsidR="00D10E70" w:rsidRPr="00B00E43" w:rsidRDefault="00D10E70" w:rsidP="00D10E70">
            <w:pPr>
              <w:tabs>
                <w:tab w:val="clear" w:pos="284"/>
              </w:tabs>
              <w:spacing w:line="240" w:lineRule="auto"/>
              <w:rPr>
                <w:rFonts w:ascii="Times New Roman" w:hAnsi="Times New Roman"/>
              </w:rPr>
            </w:pPr>
            <w:r w:rsidRPr="00B00E43">
              <w:rPr>
                <w:rFonts w:ascii="Times New Roman" w:hAnsi="Times New Roman"/>
              </w:rPr>
              <w:t>2</w:t>
            </w:r>
          </w:p>
        </w:tc>
      </w:tr>
      <w:tr w:rsidR="007961B1" w:rsidRPr="00D10E70" w14:paraId="009F0BEF" w14:textId="77777777" w:rsidTr="003042E0">
        <w:tc>
          <w:tcPr>
            <w:tcW w:w="5572" w:type="dxa"/>
            <w:shd w:val="clear" w:color="auto" w:fill="auto"/>
          </w:tcPr>
          <w:p w14:paraId="00591DF4" w14:textId="77777777" w:rsidR="007961B1" w:rsidRPr="007961B1" w:rsidRDefault="007961B1" w:rsidP="00B00E43">
            <w:pPr>
              <w:tabs>
                <w:tab w:val="clear" w:pos="284"/>
              </w:tabs>
              <w:spacing w:line="240" w:lineRule="auto"/>
              <w:rPr>
                <w:rFonts w:ascii="Times New Roman" w:hAnsi="Times New Roman"/>
              </w:rPr>
            </w:pPr>
            <w:r>
              <w:rPr>
                <w:rFonts w:ascii="Times New Roman" w:hAnsi="Times New Roman"/>
              </w:rPr>
              <w:t>Lavori di gruppo, esercizi numerici sulla previsione e valutazione della shelf-life, seminari con testimonianze aziendali</w:t>
            </w:r>
          </w:p>
        </w:tc>
        <w:tc>
          <w:tcPr>
            <w:tcW w:w="1118" w:type="dxa"/>
            <w:shd w:val="clear" w:color="auto" w:fill="auto"/>
          </w:tcPr>
          <w:p w14:paraId="75DED505" w14:textId="77777777" w:rsidR="007961B1" w:rsidRPr="00B00E43" w:rsidRDefault="007961B1" w:rsidP="00D10E70">
            <w:pPr>
              <w:tabs>
                <w:tab w:val="clear" w:pos="284"/>
              </w:tabs>
              <w:spacing w:line="240" w:lineRule="auto"/>
              <w:rPr>
                <w:rFonts w:ascii="Times New Roman" w:hAnsi="Times New Roman"/>
              </w:rPr>
            </w:pPr>
          </w:p>
        </w:tc>
      </w:tr>
    </w:tbl>
    <w:p w14:paraId="70997151" w14:textId="77777777" w:rsidR="00AA2DB9" w:rsidRPr="00520596" w:rsidRDefault="00AA2DB9" w:rsidP="00AA2DB9">
      <w:pPr>
        <w:keepNext/>
        <w:spacing w:before="240" w:after="120"/>
        <w:rPr>
          <w:b/>
          <w:i/>
          <w:sz w:val="18"/>
          <w:lang w:val="en-US"/>
        </w:rPr>
      </w:pPr>
      <w:r w:rsidRPr="00520596">
        <w:rPr>
          <w:b/>
          <w:i/>
          <w:sz w:val="18"/>
          <w:lang w:val="en-US"/>
        </w:rPr>
        <w:t>BIBLIOGRAFIA</w:t>
      </w:r>
    </w:p>
    <w:p w14:paraId="499D11AF" w14:textId="77777777" w:rsidR="00AA2DB9" w:rsidRPr="00AA2DB9" w:rsidRDefault="00AA2DB9" w:rsidP="00AA2DB9">
      <w:pPr>
        <w:spacing w:line="240" w:lineRule="atLeast"/>
        <w:ind w:left="284" w:hanging="284"/>
        <w:rPr>
          <w:spacing w:val="-5"/>
          <w:sz w:val="18"/>
          <w:szCs w:val="24"/>
          <w:lang w:val="en-GB"/>
        </w:rPr>
      </w:pPr>
      <w:r w:rsidRPr="00AA2DB9">
        <w:rPr>
          <w:smallCaps/>
          <w:spacing w:val="-5"/>
          <w:sz w:val="16"/>
          <w:szCs w:val="24"/>
          <w:lang w:val="en-GB"/>
        </w:rPr>
        <w:t>G.L. Robertson,</w:t>
      </w:r>
      <w:r w:rsidRPr="00AA2DB9">
        <w:rPr>
          <w:i/>
          <w:spacing w:val="-5"/>
          <w:sz w:val="18"/>
          <w:szCs w:val="24"/>
          <w:lang w:val="en-GB"/>
        </w:rPr>
        <w:t xml:space="preserve"> “Food Packaging,</w:t>
      </w:r>
      <w:r w:rsidRPr="00AA2DB9">
        <w:rPr>
          <w:spacing w:val="-5"/>
          <w:sz w:val="18"/>
          <w:szCs w:val="24"/>
          <w:lang w:val="en-GB"/>
        </w:rPr>
        <w:t xml:space="preserve"> </w:t>
      </w:r>
      <w:r w:rsidRPr="003B68AD">
        <w:rPr>
          <w:i/>
          <w:spacing w:val="-5"/>
          <w:sz w:val="18"/>
          <w:szCs w:val="24"/>
          <w:lang w:val="en-GB"/>
        </w:rPr>
        <w:t>Principles and Practices",</w:t>
      </w:r>
      <w:r w:rsidRPr="00AA2DB9">
        <w:rPr>
          <w:spacing w:val="-5"/>
          <w:sz w:val="18"/>
          <w:szCs w:val="24"/>
          <w:lang w:val="en-GB"/>
        </w:rPr>
        <w:t xml:space="preserve"> 2</w:t>
      </w:r>
      <w:r w:rsidRPr="00F351CB">
        <w:rPr>
          <w:spacing w:val="-5"/>
          <w:sz w:val="18"/>
          <w:szCs w:val="24"/>
          <w:vertAlign w:val="superscript"/>
          <w:lang w:val="en-GB"/>
        </w:rPr>
        <w:t>a</w:t>
      </w:r>
      <w:r w:rsidRPr="00AA2DB9">
        <w:rPr>
          <w:spacing w:val="-5"/>
          <w:sz w:val="18"/>
          <w:szCs w:val="24"/>
          <w:lang w:val="en-GB"/>
        </w:rPr>
        <w:t xml:space="preserve"> ed., CRC (Publ.), 2005.</w:t>
      </w:r>
    </w:p>
    <w:p w14:paraId="29BC431D" w14:textId="77777777" w:rsidR="00AA2DB9" w:rsidRPr="00AA2DB9" w:rsidRDefault="00AA2DB9" w:rsidP="00AA2DB9">
      <w:pPr>
        <w:spacing w:line="240" w:lineRule="atLeast"/>
        <w:ind w:left="284" w:hanging="284"/>
        <w:rPr>
          <w:spacing w:val="-5"/>
          <w:sz w:val="18"/>
          <w:szCs w:val="24"/>
          <w:lang w:val="en-GB"/>
        </w:rPr>
      </w:pPr>
      <w:r w:rsidRPr="00AA2DB9">
        <w:rPr>
          <w:smallCaps/>
          <w:spacing w:val="-5"/>
          <w:sz w:val="16"/>
          <w:szCs w:val="24"/>
          <w:lang w:val="en-GB"/>
        </w:rPr>
        <w:t>D.S. Lee-K.L. Yam-L. Piergiovanni,</w:t>
      </w:r>
      <w:r w:rsidRPr="00AA2DB9">
        <w:rPr>
          <w:i/>
          <w:spacing w:val="-5"/>
          <w:sz w:val="18"/>
          <w:szCs w:val="24"/>
          <w:lang w:val="en-GB"/>
        </w:rPr>
        <w:t xml:space="preserve"> Food Packaging Science and Technology,</w:t>
      </w:r>
      <w:r w:rsidRPr="00AA2DB9">
        <w:rPr>
          <w:spacing w:val="-5"/>
          <w:sz w:val="18"/>
          <w:szCs w:val="24"/>
          <w:lang w:val="en-GB"/>
        </w:rPr>
        <w:t xml:space="preserve"> CRC Press, Inc., 2008</w:t>
      </w:r>
      <w:r w:rsidR="00F351CB">
        <w:rPr>
          <w:spacing w:val="-5"/>
          <w:sz w:val="18"/>
          <w:szCs w:val="24"/>
          <w:lang w:val="en-GB"/>
        </w:rPr>
        <w:t>.</w:t>
      </w:r>
    </w:p>
    <w:p w14:paraId="36676F86" w14:textId="77777777" w:rsidR="00AA2DB9" w:rsidRPr="00AA2DB9" w:rsidRDefault="00AA2DB9" w:rsidP="00AA2DB9">
      <w:pPr>
        <w:pStyle w:val="Corpotesto"/>
        <w:spacing w:line="240" w:lineRule="atLeast"/>
        <w:ind w:left="284" w:hanging="284"/>
        <w:rPr>
          <w:spacing w:val="-5"/>
          <w:sz w:val="18"/>
        </w:rPr>
      </w:pPr>
      <w:r w:rsidRPr="00AA2DB9">
        <w:rPr>
          <w:smallCaps/>
          <w:spacing w:val="-5"/>
          <w:sz w:val="16"/>
        </w:rPr>
        <w:t>L. Piergiovanni-S. Limbo,</w:t>
      </w:r>
      <w:r w:rsidRPr="00AA2DB9">
        <w:rPr>
          <w:i/>
          <w:spacing w:val="-5"/>
          <w:sz w:val="18"/>
        </w:rPr>
        <w:t xml:space="preserve"> Food Packaging. Materiali,</w:t>
      </w:r>
      <w:r w:rsidRPr="00AA2DB9">
        <w:rPr>
          <w:spacing w:val="-5"/>
          <w:sz w:val="18"/>
        </w:rPr>
        <w:t xml:space="preserve"> </w:t>
      </w:r>
      <w:r w:rsidRPr="003B68AD">
        <w:rPr>
          <w:i/>
          <w:spacing w:val="-5"/>
          <w:sz w:val="18"/>
        </w:rPr>
        <w:t>Tecnologie e qualità degli alimenti</w:t>
      </w:r>
      <w:r w:rsidRPr="00AA2DB9">
        <w:rPr>
          <w:spacing w:val="-5"/>
          <w:sz w:val="18"/>
        </w:rPr>
        <w:t>, Springer, 2010.</w:t>
      </w:r>
    </w:p>
    <w:p w14:paraId="392E462A" w14:textId="77777777" w:rsidR="00AA2DB9" w:rsidRPr="00AA2DB9" w:rsidRDefault="00AA2DB9" w:rsidP="00AA2DB9">
      <w:pPr>
        <w:spacing w:line="240" w:lineRule="atLeast"/>
        <w:ind w:left="284" w:hanging="284"/>
        <w:rPr>
          <w:spacing w:val="-5"/>
          <w:sz w:val="18"/>
          <w:szCs w:val="24"/>
        </w:rPr>
      </w:pPr>
      <w:r w:rsidRPr="00AA2DB9">
        <w:rPr>
          <w:smallCaps/>
          <w:spacing w:val="-5"/>
          <w:sz w:val="16"/>
          <w:szCs w:val="24"/>
        </w:rPr>
        <w:t>P. Calà-Sciullo,</w:t>
      </w:r>
      <w:r w:rsidRPr="00AA2DB9">
        <w:rPr>
          <w:i/>
          <w:spacing w:val="-5"/>
          <w:sz w:val="18"/>
          <w:szCs w:val="24"/>
        </w:rPr>
        <w:t xml:space="preserve"> Materiali destinati al contatto con gli alimenti,</w:t>
      </w:r>
      <w:r w:rsidRPr="00AA2DB9">
        <w:rPr>
          <w:spacing w:val="-5"/>
          <w:sz w:val="18"/>
          <w:szCs w:val="24"/>
        </w:rPr>
        <w:t xml:space="preserve"> </w:t>
      </w:r>
      <w:proofErr w:type="spellStart"/>
      <w:r w:rsidRPr="00AA2DB9">
        <w:rPr>
          <w:spacing w:val="-5"/>
          <w:sz w:val="18"/>
          <w:szCs w:val="24"/>
        </w:rPr>
        <w:t>Chiriotti</w:t>
      </w:r>
      <w:proofErr w:type="spellEnd"/>
      <w:r w:rsidRPr="00AA2DB9">
        <w:rPr>
          <w:spacing w:val="-5"/>
          <w:sz w:val="18"/>
          <w:szCs w:val="24"/>
        </w:rPr>
        <w:t xml:space="preserve"> Editori, Pinerolo (To), 2006.</w:t>
      </w:r>
    </w:p>
    <w:p w14:paraId="3F4694F8" w14:textId="77777777" w:rsidR="00AA2DB9" w:rsidRPr="00AA2DB9" w:rsidRDefault="00AA2DB9" w:rsidP="00AA2DB9">
      <w:pPr>
        <w:rPr>
          <w:sz w:val="18"/>
          <w:szCs w:val="18"/>
        </w:rPr>
      </w:pPr>
      <w:r w:rsidRPr="00AA2DB9">
        <w:rPr>
          <w:sz w:val="18"/>
          <w:szCs w:val="18"/>
        </w:rPr>
        <w:t>Appunti del docente</w:t>
      </w:r>
      <w:r>
        <w:rPr>
          <w:sz w:val="18"/>
          <w:szCs w:val="18"/>
        </w:rPr>
        <w:t>.</w:t>
      </w:r>
    </w:p>
    <w:p w14:paraId="11CDD486" w14:textId="77777777" w:rsidR="00AA2DB9" w:rsidRPr="00AA2DB9" w:rsidRDefault="00AA2DB9" w:rsidP="00AA2DB9">
      <w:pPr>
        <w:rPr>
          <w:sz w:val="18"/>
          <w:szCs w:val="18"/>
        </w:rPr>
      </w:pPr>
      <w:r w:rsidRPr="00AA2DB9">
        <w:rPr>
          <w:sz w:val="18"/>
          <w:szCs w:val="18"/>
        </w:rPr>
        <w:t xml:space="preserve">Sussidi </w:t>
      </w:r>
      <w:r w:rsidR="003B68AD">
        <w:rPr>
          <w:sz w:val="18"/>
          <w:szCs w:val="18"/>
        </w:rPr>
        <w:t xml:space="preserve">relativi a specifici argomenti </w:t>
      </w:r>
      <w:r w:rsidRPr="00AA2DB9">
        <w:rPr>
          <w:sz w:val="18"/>
          <w:szCs w:val="18"/>
        </w:rPr>
        <w:t>verranno forniti durante lo svolgimento del corso</w:t>
      </w:r>
      <w:r>
        <w:rPr>
          <w:sz w:val="18"/>
          <w:szCs w:val="18"/>
        </w:rPr>
        <w:t>.</w:t>
      </w:r>
    </w:p>
    <w:p w14:paraId="205ED7C6" w14:textId="77777777" w:rsidR="00AA2DB9" w:rsidRDefault="00AA2DB9" w:rsidP="00AA2DB9">
      <w:pPr>
        <w:spacing w:before="240" w:after="120" w:line="220" w:lineRule="exact"/>
        <w:rPr>
          <w:b/>
          <w:i/>
          <w:sz w:val="18"/>
        </w:rPr>
      </w:pPr>
      <w:r>
        <w:rPr>
          <w:b/>
          <w:i/>
          <w:sz w:val="18"/>
        </w:rPr>
        <w:t>DIDATTICA DEL CORSO</w:t>
      </w:r>
    </w:p>
    <w:p w14:paraId="3C270BD9" w14:textId="77777777" w:rsidR="008E3B0A" w:rsidRDefault="008E3B0A" w:rsidP="008E3B0A">
      <w:pPr>
        <w:pStyle w:val="Testo2"/>
        <w:numPr>
          <w:ilvl w:val="0"/>
          <w:numId w:val="1"/>
        </w:numPr>
        <w:ind w:left="426" w:hanging="426"/>
      </w:pPr>
      <w:r w:rsidRPr="004112BF">
        <w:t xml:space="preserve">Lezioni </w:t>
      </w:r>
      <w:r>
        <w:t xml:space="preserve">frontali e dialogate di tipo teorico </w:t>
      </w:r>
      <w:r w:rsidRPr="004112BF">
        <w:t xml:space="preserve">in aula </w:t>
      </w:r>
      <w:r>
        <w:t>per l’esposizione dei concetti chiave della materia.</w:t>
      </w:r>
    </w:p>
    <w:p w14:paraId="40FE562E" w14:textId="6CD17847" w:rsidR="008E3B0A" w:rsidRDefault="008E3B0A" w:rsidP="008E3B0A">
      <w:pPr>
        <w:pStyle w:val="Testo2"/>
        <w:numPr>
          <w:ilvl w:val="0"/>
          <w:numId w:val="1"/>
        </w:numPr>
        <w:ind w:left="426" w:hanging="426"/>
      </w:pPr>
      <w:r>
        <w:t>Esercitazioni frontali con risoluzione assistita di problemi numerici relativi al calcolo della shelf-life di prodotti alimentari.</w:t>
      </w:r>
    </w:p>
    <w:p w14:paraId="783CEE16" w14:textId="77777777" w:rsidR="008E3B0A" w:rsidRDefault="008E3B0A" w:rsidP="008E3B0A">
      <w:pPr>
        <w:pStyle w:val="Testo2"/>
        <w:numPr>
          <w:ilvl w:val="0"/>
          <w:numId w:val="1"/>
        </w:numPr>
        <w:ind w:left="426" w:hanging="426"/>
      </w:pPr>
      <w:r>
        <w:t>Assegnazione di lavori di gruppo per la risoluzione di specifici assignment relativi agli argomenti del corso.</w:t>
      </w:r>
    </w:p>
    <w:p w14:paraId="5486B7DA" w14:textId="77777777" w:rsidR="008E3B0A" w:rsidRDefault="008E3B0A" w:rsidP="008E3B0A">
      <w:pPr>
        <w:pStyle w:val="Testo2"/>
        <w:numPr>
          <w:ilvl w:val="0"/>
          <w:numId w:val="1"/>
        </w:numPr>
        <w:ind w:left="426" w:hanging="426"/>
      </w:pPr>
      <w:r>
        <w:t>S</w:t>
      </w:r>
      <w:r w:rsidRPr="004112BF">
        <w:t>eminari</w:t>
      </w:r>
      <w:r>
        <w:t xml:space="preserve"> in aula con testimonianze aziendali.</w:t>
      </w:r>
    </w:p>
    <w:p w14:paraId="4F481BC2" w14:textId="7C935E11" w:rsidR="008E3B0A" w:rsidRPr="004112BF" w:rsidRDefault="008E3B0A" w:rsidP="008E3B0A">
      <w:pPr>
        <w:pStyle w:val="Testo2"/>
        <w:numPr>
          <w:ilvl w:val="0"/>
          <w:numId w:val="1"/>
        </w:numPr>
        <w:ind w:left="426" w:hanging="426"/>
      </w:pPr>
      <w:r>
        <w:t xml:space="preserve">Possibilmente una uscita didattica per la visita ad una azienda del settore del confezionamento alimentare. </w:t>
      </w:r>
    </w:p>
    <w:p w14:paraId="1B767D56" w14:textId="77777777" w:rsidR="00B94CE3" w:rsidRDefault="00AA2DB9" w:rsidP="00B94CE3">
      <w:pPr>
        <w:spacing w:before="240" w:after="120" w:line="220" w:lineRule="exact"/>
        <w:rPr>
          <w:b/>
          <w:i/>
          <w:sz w:val="18"/>
        </w:rPr>
      </w:pPr>
      <w:r>
        <w:rPr>
          <w:b/>
          <w:i/>
          <w:sz w:val="18"/>
        </w:rPr>
        <w:t xml:space="preserve">METODO </w:t>
      </w:r>
      <w:r w:rsidR="00B94CE3">
        <w:rPr>
          <w:b/>
          <w:i/>
          <w:sz w:val="18"/>
        </w:rPr>
        <w:t>E CRITERI</w:t>
      </w:r>
      <w:r w:rsidR="00B94CE3" w:rsidRPr="004112BF">
        <w:rPr>
          <w:b/>
          <w:i/>
          <w:sz w:val="18"/>
        </w:rPr>
        <w:t xml:space="preserve"> DI VALUTAZIONE</w:t>
      </w:r>
      <w:r w:rsidR="00B94CE3" w:rsidRPr="005C73E1">
        <w:rPr>
          <w:b/>
          <w:i/>
          <w:sz w:val="18"/>
        </w:rPr>
        <w:t xml:space="preserve"> </w:t>
      </w:r>
    </w:p>
    <w:p w14:paraId="1EF8A058" w14:textId="56A06172" w:rsidR="00447081" w:rsidRPr="007B2133" w:rsidRDefault="00447081" w:rsidP="00447081">
      <w:pPr>
        <w:pStyle w:val="Testo2"/>
        <w:rPr>
          <w:noProof w:val="0"/>
        </w:rPr>
      </w:pPr>
      <w:r>
        <w:t>Durante il corso saranno assegnati dei compiti intermedi su specifici argomenti trattati a lezione, inclusi esercizi numerici, domande teoriche aperte e lavori di gruppo sull</w:t>
      </w:r>
      <w:r w:rsidR="000E2238">
        <w:t>a valutazione della shelf-life di prodotti alimentari e la valutazione dell’idoneità al contatto con alimenti di materiali di confezionamento</w:t>
      </w:r>
      <w:r>
        <w:t xml:space="preserve">. Le valutazioni in trentesimi delle relazioni inviate per i diversi compiti assegnati contribuiranno al voto finale insieme a una discussione orale finale che verterà sul contenuto delle relazioni. Il voto finale rifletterà le competenze acquisite,  la capacità di ragionamento,   il rigore analitico nonché  le proprietà di linguaggio dello studente. </w:t>
      </w:r>
      <w:r>
        <w:rPr>
          <w:noProof w:val="0"/>
        </w:rPr>
        <w:t>Nel caso di studenti lavoratori o impossibilitati a partecipare al lavoro di gruppo, questo dovrà essere comunicato a</w:t>
      </w:r>
      <w:r>
        <w:rPr>
          <w:noProof w:val="0"/>
        </w:rPr>
        <w:t>l</w:t>
      </w:r>
      <w:r>
        <w:rPr>
          <w:noProof w:val="0"/>
        </w:rPr>
        <w:t xml:space="preserve"> docent</w:t>
      </w:r>
      <w:r>
        <w:rPr>
          <w:noProof w:val="0"/>
        </w:rPr>
        <w:t>e</w:t>
      </w:r>
      <w:r>
        <w:rPr>
          <w:noProof w:val="0"/>
        </w:rPr>
        <w:t xml:space="preserve"> a inizio corso di modo che i</w:t>
      </w:r>
      <w:r>
        <w:rPr>
          <w:noProof w:val="0"/>
        </w:rPr>
        <w:t>l</w:t>
      </w:r>
      <w:r>
        <w:rPr>
          <w:noProof w:val="0"/>
        </w:rPr>
        <w:t xml:space="preserve"> docent</w:t>
      </w:r>
      <w:r>
        <w:rPr>
          <w:noProof w:val="0"/>
        </w:rPr>
        <w:t>e</w:t>
      </w:r>
      <w:r>
        <w:rPr>
          <w:noProof w:val="0"/>
        </w:rPr>
        <w:t xml:space="preserve"> poss</w:t>
      </w:r>
      <w:r w:rsidR="000E2238">
        <w:rPr>
          <w:noProof w:val="0"/>
        </w:rPr>
        <w:t>a</w:t>
      </w:r>
      <w:r>
        <w:rPr>
          <w:noProof w:val="0"/>
        </w:rPr>
        <w:t xml:space="preserve"> individuare attività alternative per coprire questa parte del programma. </w:t>
      </w:r>
    </w:p>
    <w:p w14:paraId="65C37681" w14:textId="77777777" w:rsidR="00993F0E" w:rsidRPr="00D751B4" w:rsidRDefault="00993F0E" w:rsidP="00B94CE3">
      <w:pPr>
        <w:pStyle w:val="Testo2"/>
        <w:rPr>
          <w:noProof w:val="0"/>
        </w:rPr>
      </w:pPr>
    </w:p>
    <w:p w14:paraId="0E3F798D" w14:textId="77777777" w:rsidR="00B94CE3" w:rsidRPr="004112BF" w:rsidRDefault="00B94CE3" w:rsidP="00B94CE3">
      <w:pPr>
        <w:spacing w:before="240" w:after="120"/>
        <w:rPr>
          <w:b/>
          <w:i/>
          <w:sz w:val="18"/>
        </w:rPr>
      </w:pPr>
      <w:r w:rsidRPr="004112BF">
        <w:rPr>
          <w:b/>
          <w:i/>
          <w:sz w:val="18"/>
        </w:rPr>
        <w:t>AVVERTENZE</w:t>
      </w:r>
      <w:r>
        <w:rPr>
          <w:b/>
          <w:i/>
          <w:sz w:val="18"/>
        </w:rPr>
        <w:t xml:space="preserve"> E PREREQUISITI</w:t>
      </w:r>
    </w:p>
    <w:p w14:paraId="3426D889" w14:textId="5CED212B" w:rsidR="00B94CE3" w:rsidRDefault="00365C58" w:rsidP="00B94CE3">
      <w:pPr>
        <w:pStyle w:val="Testo2"/>
      </w:pPr>
      <w:r>
        <w:lastRenderedPageBreak/>
        <w:t>Il possesso di c</w:t>
      </w:r>
      <w:r w:rsidR="00B94CE3">
        <w:t>onoscenze base sulle cinetiche di reazione</w:t>
      </w:r>
      <w:r w:rsidR="008E3B0A">
        <w:t xml:space="preserve"> e</w:t>
      </w:r>
      <w:r w:rsidR="00B94CE3">
        <w:t xml:space="preserve"> sulle caratteristiche chimico-fisiche dei prodotti alimentari</w:t>
      </w:r>
      <w:r>
        <w:t xml:space="preserve"> può facilitare la comprensione di una parte del corso</w:t>
      </w:r>
      <w:r w:rsidR="00B94CE3">
        <w:t xml:space="preserve">. </w:t>
      </w:r>
      <w:r>
        <w:t>Se necessario, lo studente potrà chiedere al docente materiale integrativo relativo a queste tematiche.</w:t>
      </w:r>
    </w:p>
    <w:p w14:paraId="315F8E27" w14:textId="21867130" w:rsidR="00990668" w:rsidRDefault="00990668" w:rsidP="00B94CE3">
      <w:pPr>
        <w:pStyle w:val="Testo2"/>
      </w:pPr>
      <w:r w:rsidRPr="00990668">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514DD018" w14:textId="77777777" w:rsidR="00B94CE3" w:rsidRDefault="00B94CE3" w:rsidP="00B94CE3">
      <w:pPr>
        <w:spacing w:before="240" w:after="120"/>
        <w:rPr>
          <w:b/>
          <w:i/>
          <w:sz w:val="18"/>
        </w:rPr>
      </w:pPr>
      <w:r>
        <w:rPr>
          <w:b/>
          <w:i/>
          <w:sz w:val="18"/>
        </w:rPr>
        <w:t>ORARIO E LUOGO DI RICEVIMENTO DEGLI STUDENTI</w:t>
      </w:r>
    </w:p>
    <w:p w14:paraId="3134F7C5" w14:textId="62273AA8" w:rsidR="00AA2DB9" w:rsidRPr="00AA2DB9" w:rsidRDefault="003275BF" w:rsidP="00AF6BB0">
      <w:pPr>
        <w:pStyle w:val="Testo2"/>
      </w:pPr>
      <w:r w:rsidRPr="00AF6BB0">
        <w:t>Il do</w:t>
      </w:r>
      <w:r w:rsidR="00AF6BB0">
        <w:t>cente è disponibile per ricevere</w:t>
      </w:r>
      <w:r w:rsidRPr="00AF6BB0">
        <w:t xml:space="preserve"> gli studenti al termine delle lezioni o tramite appuntamento, anche in modalità remota. Si suggerisce in ogni caso di scrivere una e-mail (</w:t>
      </w:r>
      <w:hyperlink r:id="rId5" w:history="1">
        <w:r w:rsidR="000E2238" w:rsidRPr="00F85E06">
          <w:rPr>
            <w:rStyle w:val="Collegamentoipertestuale"/>
          </w:rPr>
          <w:t>giorgia.spigno@unicatt.it</w:t>
        </w:r>
      </w:hyperlink>
      <w:r w:rsidRPr="00AF6BB0">
        <w:t>) per concordare orario e modalità ricevimento.</w:t>
      </w:r>
    </w:p>
    <w:sectPr w:rsidR="00AA2DB9" w:rsidRPr="00AA2DB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766D6"/>
    <w:multiLevelType w:val="hybridMultilevel"/>
    <w:tmpl w:val="DDF6EB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246569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zcxNzIzNjQzMTVW0lEKTi0uzszPAykwqgUAtHPTvSwAAAA="/>
  </w:docVars>
  <w:rsids>
    <w:rsidRoot w:val="00BF6185"/>
    <w:rsid w:val="000B5AA9"/>
    <w:rsid w:val="000E2238"/>
    <w:rsid w:val="001130F2"/>
    <w:rsid w:val="0018464B"/>
    <w:rsid w:val="001E2264"/>
    <w:rsid w:val="003042E0"/>
    <w:rsid w:val="003275BF"/>
    <w:rsid w:val="0033505D"/>
    <w:rsid w:val="00365C58"/>
    <w:rsid w:val="003B297B"/>
    <w:rsid w:val="003B68AD"/>
    <w:rsid w:val="003F2549"/>
    <w:rsid w:val="00447081"/>
    <w:rsid w:val="00475F7C"/>
    <w:rsid w:val="00520596"/>
    <w:rsid w:val="005543FB"/>
    <w:rsid w:val="0057177B"/>
    <w:rsid w:val="005A5961"/>
    <w:rsid w:val="005C2D54"/>
    <w:rsid w:val="0063167C"/>
    <w:rsid w:val="007961B1"/>
    <w:rsid w:val="008D601F"/>
    <w:rsid w:val="008D6598"/>
    <w:rsid w:val="008E3B0A"/>
    <w:rsid w:val="00945DED"/>
    <w:rsid w:val="00990668"/>
    <w:rsid w:val="00993F0E"/>
    <w:rsid w:val="00AA2DB9"/>
    <w:rsid w:val="00AA7796"/>
    <w:rsid w:val="00AD40CE"/>
    <w:rsid w:val="00AF6BB0"/>
    <w:rsid w:val="00B00E43"/>
    <w:rsid w:val="00B94CE3"/>
    <w:rsid w:val="00BB653A"/>
    <w:rsid w:val="00BF6185"/>
    <w:rsid w:val="00C52565"/>
    <w:rsid w:val="00C655B2"/>
    <w:rsid w:val="00CA1F65"/>
    <w:rsid w:val="00D10E70"/>
    <w:rsid w:val="00D2205E"/>
    <w:rsid w:val="00D751B4"/>
    <w:rsid w:val="00DF203A"/>
    <w:rsid w:val="00E95F7A"/>
    <w:rsid w:val="00F35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C91E5"/>
  <w15:docId w15:val="{9C34E40B-41D7-4AD2-B9A1-306D204E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AA2DB9"/>
    <w:rPr>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3275BF"/>
    <w:rPr>
      <w:color w:val="0000FF"/>
      <w:u w:val="single"/>
    </w:rPr>
  </w:style>
  <w:style w:type="paragraph" w:styleId="Revisione">
    <w:name w:val="Revision"/>
    <w:hidden/>
    <w:uiPriority w:val="99"/>
    <w:semiHidden/>
    <w:rsid w:val="00365C58"/>
    <w:rPr>
      <w:rFonts w:ascii="Times" w:hAnsi="Times"/>
    </w:rPr>
  </w:style>
  <w:style w:type="character" w:styleId="Menzionenonrisolta">
    <w:name w:val="Unresolved Mention"/>
    <w:basedOn w:val="Carpredefinitoparagrafo"/>
    <w:uiPriority w:val="99"/>
    <w:semiHidden/>
    <w:unhideWhenUsed/>
    <w:rsid w:val="000E2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445447">
      <w:bodyDiv w:val="1"/>
      <w:marLeft w:val="0"/>
      <w:marRight w:val="0"/>
      <w:marTop w:val="0"/>
      <w:marBottom w:val="0"/>
      <w:divBdr>
        <w:top w:val="none" w:sz="0" w:space="0" w:color="auto"/>
        <w:left w:val="none" w:sz="0" w:space="0" w:color="auto"/>
        <w:bottom w:val="none" w:sz="0" w:space="0" w:color="auto"/>
        <w:right w:val="none" w:sz="0" w:space="0" w:color="auto"/>
      </w:divBdr>
    </w:div>
    <w:div w:id="1469665834">
      <w:bodyDiv w:val="1"/>
      <w:marLeft w:val="0"/>
      <w:marRight w:val="0"/>
      <w:marTop w:val="0"/>
      <w:marBottom w:val="0"/>
      <w:divBdr>
        <w:top w:val="none" w:sz="0" w:space="0" w:color="auto"/>
        <w:left w:val="none" w:sz="0" w:space="0" w:color="auto"/>
        <w:bottom w:val="none" w:sz="0" w:space="0" w:color="auto"/>
        <w:right w:val="none" w:sz="0" w:space="0" w:color="auto"/>
      </w:divBdr>
    </w:div>
    <w:div w:id="17435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orgia.spigno@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76</TotalTime>
  <Pages>3</Pages>
  <Words>750</Words>
  <Characters>4277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Spigno Giorgia (giorgia.spigno)</cp:lastModifiedBy>
  <cp:revision>20</cp:revision>
  <cp:lastPrinted>2011-06-15T13:51:00Z</cp:lastPrinted>
  <dcterms:created xsi:type="dcterms:W3CDTF">2020-05-03T13:47:00Z</dcterms:created>
  <dcterms:modified xsi:type="dcterms:W3CDTF">2023-05-23T07:43:00Z</dcterms:modified>
</cp:coreProperties>
</file>