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CB8F" w14:textId="66FBBAFA" w:rsidR="00FD44D1" w:rsidRDefault="00E51E67">
      <w:pPr>
        <w:pStyle w:val="Titolo1"/>
      </w:pPr>
      <w:r>
        <w:t>Genetica Agraria</w:t>
      </w:r>
    </w:p>
    <w:p w14:paraId="12890C90" w14:textId="77777777" w:rsidR="00E51E67" w:rsidRPr="000B3F40" w:rsidRDefault="00DC54A1" w:rsidP="00E51E67">
      <w:pPr>
        <w:pStyle w:val="Titolo2"/>
      </w:pPr>
      <w:r w:rsidRPr="000B3F40">
        <w:t>Prof</w:t>
      </w:r>
      <w:r w:rsidR="00F91E68" w:rsidRPr="000B3F40">
        <w:t>f</w:t>
      </w:r>
      <w:r w:rsidRPr="000B3F40">
        <w:t>. Adriano Marocco</w:t>
      </w:r>
      <w:r w:rsidR="00F91E68" w:rsidRPr="000B3F40">
        <w:t xml:space="preserve"> – Alessandra Lanubile</w:t>
      </w:r>
    </w:p>
    <w:p w14:paraId="2EB39B19" w14:textId="77777777" w:rsidR="00703D12" w:rsidRPr="000B3F40" w:rsidRDefault="00703D12" w:rsidP="00D510BB">
      <w:pPr>
        <w:pStyle w:val="Titolo3"/>
      </w:pPr>
    </w:p>
    <w:p w14:paraId="3B51DD0F" w14:textId="77777777" w:rsidR="00E51E67" w:rsidRPr="000B3F40" w:rsidRDefault="00E51E67" w:rsidP="00D510BB">
      <w:pPr>
        <w:rPr>
          <w:b/>
          <w:sz w:val="18"/>
        </w:rPr>
      </w:pPr>
      <w:r w:rsidRPr="000B3F40">
        <w:rPr>
          <w:b/>
          <w:i/>
          <w:sz w:val="18"/>
        </w:rPr>
        <w:t>OBIETTIVO DEL CORSO</w:t>
      </w:r>
      <w:r w:rsidR="00703D12" w:rsidRPr="000B3F40">
        <w:rPr>
          <w:b/>
          <w:i/>
        </w:rPr>
        <w:t xml:space="preserve"> </w:t>
      </w:r>
      <w:r w:rsidR="00703D12" w:rsidRPr="000B3F40">
        <w:rPr>
          <w:b/>
          <w:i/>
          <w:sz w:val="18"/>
          <w:szCs w:val="18"/>
        </w:rPr>
        <w:t>E RISULTATI DI APPRENDIMENTO ATTESI</w:t>
      </w:r>
      <w:r w:rsidR="00703D12" w:rsidRPr="000B3F40">
        <w:rPr>
          <w:sz w:val="18"/>
          <w:szCs w:val="18"/>
        </w:rPr>
        <w:t>.</w:t>
      </w:r>
    </w:p>
    <w:p w14:paraId="4E9A4D28" w14:textId="1D139DDC" w:rsidR="00E51E67" w:rsidRPr="000B3F40" w:rsidRDefault="00E51E67" w:rsidP="00E51E67">
      <w:r w:rsidRPr="000B3F40">
        <w:tab/>
      </w:r>
      <w:r w:rsidR="00AA23A2" w:rsidRPr="000B3F40">
        <w:t>Scopo del corso è di f</w:t>
      </w:r>
      <w:r w:rsidRPr="000B3F40">
        <w:t xml:space="preserve">ornire </w:t>
      </w:r>
      <w:r w:rsidR="0089731B" w:rsidRPr="000B3F40">
        <w:t xml:space="preserve">agli studenti </w:t>
      </w:r>
      <w:r w:rsidRPr="000B3F40">
        <w:t>le conoscenze di base relative</w:t>
      </w:r>
      <w:r w:rsidR="0016517F" w:rsidRPr="000B3F40">
        <w:t xml:space="preserve"> a</w:t>
      </w:r>
      <w:r w:rsidR="00AA23A2" w:rsidRPr="000B3F40">
        <w:t>: 1)</w:t>
      </w:r>
      <w:r w:rsidRPr="000B3F40">
        <w:t xml:space="preserve"> </w:t>
      </w:r>
      <w:r w:rsidR="0016517F" w:rsidRPr="000B3F40">
        <w:t xml:space="preserve">struttura, organizzazione, funzionamento e modificazioni </w:t>
      </w:r>
      <w:r w:rsidR="00D71C52" w:rsidRPr="000B3F40">
        <w:t xml:space="preserve">strutturali ed </w:t>
      </w:r>
      <w:r w:rsidR="0016517F" w:rsidRPr="000B3F40">
        <w:t xml:space="preserve">epigenetiche del materiale genetico; 2) </w:t>
      </w:r>
      <w:r w:rsidR="00AA23A2" w:rsidRPr="000B3F40">
        <w:t>trasmissione dei caratteri ereditari qualitativi</w:t>
      </w:r>
      <w:r w:rsidR="0016517F" w:rsidRPr="000B3F40">
        <w:t>, costruzione delle mappe genetiche e analisi delle mutazioni; 3) genetica di popolazione</w:t>
      </w:r>
      <w:r w:rsidR="00D71C52" w:rsidRPr="000B3F40">
        <w:t>;</w:t>
      </w:r>
      <w:r w:rsidR="0016517F" w:rsidRPr="000B3F40">
        <w:t xml:space="preserve"> </w:t>
      </w:r>
      <w:r w:rsidR="00D71C52" w:rsidRPr="000B3F40">
        <w:t xml:space="preserve">4) genetica </w:t>
      </w:r>
      <w:r w:rsidR="0016517F" w:rsidRPr="000B3F40">
        <w:t xml:space="preserve">dei caratteri </w:t>
      </w:r>
      <w:r w:rsidR="00AA23A2" w:rsidRPr="000B3F40">
        <w:t>quantitativi</w:t>
      </w:r>
      <w:r w:rsidR="0016517F" w:rsidRPr="000B3F40">
        <w:t>.</w:t>
      </w:r>
    </w:p>
    <w:p w14:paraId="108EE707" w14:textId="77777777" w:rsidR="00C41858" w:rsidRPr="000B3F40" w:rsidRDefault="00C41858" w:rsidP="00C41858"/>
    <w:p w14:paraId="5541B5CF" w14:textId="77777777" w:rsidR="00C41858" w:rsidRPr="000B3F40" w:rsidRDefault="00C41858" w:rsidP="00C41858">
      <w:pPr>
        <w:rPr>
          <w:b/>
        </w:rPr>
      </w:pPr>
      <w:r w:rsidRPr="000B3F40">
        <w:rPr>
          <w:b/>
          <w:i/>
        </w:rPr>
        <w:t>Conoscenza e comprensione</w:t>
      </w:r>
      <w:r w:rsidRPr="000B3F40">
        <w:rPr>
          <w:b/>
        </w:rPr>
        <w:t>.</w:t>
      </w:r>
    </w:p>
    <w:p w14:paraId="54E89DDD" w14:textId="77777777" w:rsidR="00C41858" w:rsidRPr="000B3F40" w:rsidRDefault="00C41858" w:rsidP="00D510BB">
      <w:pPr>
        <w:ind w:firstLine="284"/>
      </w:pPr>
      <w:r w:rsidRPr="000B3F40">
        <w:t>Al termine dell’insegnamento lo studente sarà in grado di:</w:t>
      </w:r>
    </w:p>
    <w:p w14:paraId="7AFD150D" w14:textId="77777777" w:rsidR="00C41858" w:rsidRPr="000B3F40" w:rsidRDefault="00C41858" w:rsidP="00C41858">
      <w:r w:rsidRPr="000B3F40">
        <w:t>Descrive la struttura, la replicazione del DNA, i meccanismi che correggono gli errori della replicazione e l’organizzazione del DNA negli eucarioti e nei procarioti;</w:t>
      </w:r>
    </w:p>
    <w:p w14:paraId="5A1D97E5" w14:textId="77777777" w:rsidR="00C41858" w:rsidRPr="000B3F40" w:rsidRDefault="00C41858" w:rsidP="00C41858">
      <w:r w:rsidRPr="000B3F40">
        <w:t>Descrivere i processi di trascrizione e traduzione e i principali aspetti della regolazione dell’espressione genica;</w:t>
      </w:r>
    </w:p>
    <w:p w14:paraId="3C5915EA" w14:textId="77777777" w:rsidR="00C41858" w:rsidRPr="000B3F40" w:rsidRDefault="00C41858" w:rsidP="00C41858">
      <w:r w:rsidRPr="000B3F40">
        <w:t>Delineare i meccanismi di trasferimento genico nei procarioti e le tecnologie del DNA e della genomica;</w:t>
      </w:r>
    </w:p>
    <w:p w14:paraId="40AA9729" w14:textId="77777777" w:rsidR="00C41858" w:rsidRPr="000B3F40" w:rsidRDefault="00C41858" w:rsidP="00C41858">
      <w:r w:rsidRPr="000B3F40">
        <w:t>Descrivere i mecca</w:t>
      </w:r>
      <w:r w:rsidR="00D510BB" w:rsidRPr="000B3F40">
        <w:t>n</w:t>
      </w:r>
      <w:r w:rsidRPr="000B3F40">
        <w:t>ismi di ereditarietà di geni singoli, di poligeni e di caratteri citoplasmatici;</w:t>
      </w:r>
    </w:p>
    <w:p w14:paraId="6B75E1F9" w14:textId="77777777" w:rsidR="00C41858" w:rsidRPr="000B3F40" w:rsidRDefault="00C41858" w:rsidP="00C41858">
      <w:r w:rsidRPr="000B3F40">
        <w:t>Conoscere i meccanismi che generano la variabilità genetica;</w:t>
      </w:r>
    </w:p>
    <w:p w14:paraId="246B04BF" w14:textId="77777777" w:rsidR="00C41858" w:rsidRPr="000B3F40" w:rsidRDefault="00C41858" w:rsidP="00C41858">
      <w:r w:rsidRPr="000B3F40">
        <w:t>Delineare l’effetto degli agenti responsabili della microevoluzione nelle popolazioni;</w:t>
      </w:r>
    </w:p>
    <w:p w14:paraId="38A1CD75" w14:textId="77777777" w:rsidR="00C41858" w:rsidRPr="000B3F40" w:rsidRDefault="00C41858" w:rsidP="00C41858">
      <w:r w:rsidRPr="000B3F40">
        <w:t>Delineare alcuni aspetti applicativi della genetica al miglioramento genetico dei caratteri quantitativi.</w:t>
      </w:r>
    </w:p>
    <w:p w14:paraId="3253D294" w14:textId="77777777" w:rsidR="00C41858" w:rsidRPr="000B3F40" w:rsidRDefault="00C41858" w:rsidP="00C41858"/>
    <w:p w14:paraId="54C23FC5" w14:textId="77777777" w:rsidR="00C41858" w:rsidRPr="000B3F40" w:rsidRDefault="00C41858" w:rsidP="00C41858">
      <w:pPr>
        <w:rPr>
          <w:b/>
        </w:rPr>
      </w:pPr>
      <w:r w:rsidRPr="000B3F40">
        <w:rPr>
          <w:b/>
          <w:i/>
        </w:rPr>
        <w:t>Capacità di applicare conoscenza e comprensione</w:t>
      </w:r>
      <w:r w:rsidRPr="000B3F40">
        <w:rPr>
          <w:b/>
        </w:rPr>
        <w:t>.</w:t>
      </w:r>
    </w:p>
    <w:p w14:paraId="3B1557C3" w14:textId="77777777" w:rsidR="00C41858" w:rsidRPr="000B3F40" w:rsidRDefault="00C41858" w:rsidP="00D510BB">
      <w:pPr>
        <w:ind w:firstLine="284"/>
      </w:pPr>
      <w:r w:rsidRPr="000B3F40">
        <w:t>Al termine dell’insegnamento lo studente sarà in grado di:</w:t>
      </w:r>
    </w:p>
    <w:p w14:paraId="3CD49C99" w14:textId="77777777" w:rsidR="00C41858" w:rsidRPr="000B3F40" w:rsidRDefault="00C41858" w:rsidP="00C41858">
      <w:r w:rsidRPr="000B3F40">
        <w:t>Pianificare esperimenti per l’analisi genetica di caratteri qualitativi;</w:t>
      </w:r>
    </w:p>
    <w:p w14:paraId="43885B5F" w14:textId="77777777" w:rsidR="00C41858" w:rsidRPr="000B3F40" w:rsidRDefault="00C41858" w:rsidP="00C41858">
      <w:r w:rsidRPr="000B3F40">
        <w:t>Effettuare la trattazione statistica di dati sperimentali;</w:t>
      </w:r>
    </w:p>
    <w:p w14:paraId="6126116B" w14:textId="77777777" w:rsidR="00C41858" w:rsidRPr="000B3F40" w:rsidRDefault="00C41858" w:rsidP="00C41858">
      <w:r w:rsidRPr="000B3F40">
        <w:t>Proporre strategie per mappare caratteri semplici e caratteri quantitativi;</w:t>
      </w:r>
    </w:p>
    <w:p w14:paraId="0C7721C5" w14:textId="77777777" w:rsidR="00C41858" w:rsidRPr="000B3F40" w:rsidRDefault="00C41858" w:rsidP="00C41858">
      <w:r w:rsidRPr="000B3F40">
        <w:t>Conoscere gli effetti delle mutazioni geniche, cromosomiche e genomiche sulla struttura e la funzione del genoma;</w:t>
      </w:r>
    </w:p>
    <w:p w14:paraId="51574B9F" w14:textId="77777777" w:rsidR="00C41858" w:rsidRPr="000B3F40" w:rsidRDefault="00C41858" w:rsidP="00C41858">
      <w:r w:rsidRPr="000B3F40">
        <w:t>Dimostrare conoscenza operativa delle principali tecniche di analisi del DNA, dei genomi e di ingegneria genetica.</w:t>
      </w:r>
    </w:p>
    <w:p w14:paraId="07281B94" w14:textId="77777777" w:rsidR="00430A27" w:rsidRPr="000B3F40" w:rsidRDefault="00430A27" w:rsidP="00430A27">
      <w:pPr>
        <w:keepNext/>
        <w:rPr>
          <w:b/>
          <w:bCs/>
          <w:i/>
          <w:iCs/>
        </w:rPr>
      </w:pPr>
      <w:r w:rsidRPr="000B3F40">
        <w:rPr>
          <w:b/>
          <w:bCs/>
          <w:i/>
          <w:iCs/>
        </w:rPr>
        <w:lastRenderedPageBreak/>
        <w:t>Autonomia di giudizio, Abilità comunicative e Capacità di apprendimento</w:t>
      </w:r>
    </w:p>
    <w:p w14:paraId="28B6B154" w14:textId="130A66CB" w:rsidR="00430A27" w:rsidRPr="000B3F40" w:rsidRDefault="00430A27" w:rsidP="00430A27">
      <w:pPr>
        <w:keepNext/>
        <w:ind w:firstLine="284"/>
      </w:pPr>
      <w:r w:rsidRPr="000B3F40">
        <w:t xml:space="preserve">Al termine dell’insegnamento lo studente sarà in grado di raccogliere e interpretare le informazioni utili a determinare giudizi autonomi e a comunicare informazioni di base sui temi della genetica </w:t>
      </w:r>
      <w:r w:rsidR="00DC6176" w:rsidRPr="000B3F40">
        <w:t xml:space="preserve">generale ed </w:t>
      </w:r>
      <w:r w:rsidRPr="000B3F40">
        <w:t xml:space="preserve">agraria. </w:t>
      </w:r>
    </w:p>
    <w:p w14:paraId="03BDBA53" w14:textId="77777777" w:rsidR="00430A27" w:rsidRPr="000B3F40" w:rsidRDefault="00430A27" w:rsidP="00430A27">
      <w:pPr>
        <w:keepNext/>
        <w:ind w:firstLine="284"/>
      </w:pPr>
      <w:r w:rsidRPr="000B3F40">
        <w:t>Avrà inoltre sviluppato capacità di apprendimento tali da intraprendere studi</w:t>
      </w:r>
    </w:p>
    <w:p w14:paraId="0AC816E8" w14:textId="63695B18" w:rsidR="00430A27" w:rsidRPr="00A34511" w:rsidRDefault="00430A27" w:rsidP="00430A27">
      <w:pPr>
        <w:keepNext/>
        <w:ind w:firstLine="284"/>
      </w:pPr>
      <w:r w:rsidRPr="000B3F40">
        <w:t>successivi con un buon grado di autonomia nell’ambito della genetica applicata e delle biotecnologie agrarie.</w:t>
      </w:r>
    </w:p>
    <w:p w14:paraId="1CFCF06D" w14:textId="77777777" w:rsidR="00C41858" w:rsidRDefault="00C41858" w:rsidP="00E51E67">
      <w:pPr>
        <w:spacing w:before="240" w:after="120"/>
        <w:rPr>
          <w:b/>
          <w:i/>
          <w:sz w:val="18"/>
        </w:rPr>
      </w:pPr>
    </w:p>
    <w:p w14:paraId="2EA03B06" w14:textId="77777777" w:rsidR="00E51E67" w:rsidRDefault="00E51E67" w:rsidP="00E51E6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EF58D2" w:rsidRPr="006C0B0E" w14:paraId="304E563F" w14:textId="77777777" w:rsidTr="00EF58D2">
        <w:tc>
          <w:tcPr>
            <w:tcW w:w="5746" w:type="dxa"/>
            <w:shd w:val="clear" w:color="auto" w:fill="auto"/>
          </w:tcPr>
          <w:p w14:paraId="54051C36" w14:textId="77777777" w:rsidR="00EF58D2" w:rsidRPr="004858ED" w:rsidRDefault="00F91E68" w:rsidP="00EF58D2">
            <w:r>
              <w:t>Modulo A</w:t>
            </w:r>
          </w:p>
        </w:tc>
        <w:tc>
          <w:tcPr>
            <w:tcW w:w="1160" w:type="dxa"/>
            <w:shd w:val="clear" w:color="auto" w:fill="auto"/>
          </w:tcPr>
          <w:p w14:paraId="631824F2" w14:textId="77777777" w:rsidR="00EF58D2" w:rsidRPr="004858ED" w:rsidRDefault="00EF58D2" w:rsidP="00EF58D2">
            <w:r w:rsidRPr="004858ED">
              <w:t>CFU</w:t>
            </w:r>
          </w:p>
        </w:tc>
      </w:tr>
      <w:tr w:rsidR="00EF58D2" w:rsidRPr="006C0B0E" w14:paraId="32D28F1E" w14:textId="77777777" w:rsidTr="00EF58D2">
        <w:tc>
          <w:tcPr>
            <w:tcW w:w="5746" w:type="dxa"/>
            <w:shd w:val="clear" w:color="auto" w:fill="auto"/>
          </w:tcPr>
          <w:p w14:paraId="484F6BCE" w14:textId="77777777" w:rsidR="00EF58D2" w:rsidRPr="004858ED" w:rsidRDefault="00F91E68" w:rsidP="00F91E68">
            <w:r>
              <w:t xml:space="preserve">Struttura, replicazione, organizzazione del DNA </w:t>
            </w:r>
            <w:r w:rsidR="00954262">
              <w:t xml:space="preserve">nei procarioti e negli eucarioti, </w:t>
            </w:r>
            <w:r>
              <w:t>elementi trasponibili</w:t>
            </w:r>
            <w:r w:rsidR="00EF58D2">
              <w:t>.</w:t>
            </w:r>
            <w:r w:rsidR="00EF58D2" w:rsidRPr="00833F83"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14:paraId="29E78B2A" w14:textId="77777777" w:rsidR="00EF58D2" w:rsidRPr="004858ED" w:rsidRDefault="00EF58D2" w:rsidP="00EF58D2">
            <w:r>
              <w:t>1.0</w:t>
            </w:r>
          </w:p>
        </w:tc>
      </w:tr>
      <w:tr w:rsidR="00EF58D2" w:rsidRPr="006C0B0E" w14:paraId="35A13F51" w14:textId="77777777" w:rsidTr="00EF58D2">
        <w:tc>
          <w:tcPr>
            <w:tcW w:w="5746" w:type="dxa"/>
            <w:shd w:val="clear" w:color="auto" w:fill="auto"/>
          </w:tcPr>
          <w:p w14:paraId="52C948F7" w14:textId="77777777" w:rsidR="00EF58D2" w:rsidRPr="004858ED" w:rsidRDefault="00F91E68" w:rsidP="00F91E68">
            <w:r>
              <w:t>Dal DNA alle proteine: codice genetico, trascrizione</w:t>
            </w:r>
            <w:r w:rsidR="00606970">
              <w:t xml:space="preserve">, sintesi dell’mRNA negli eucarioti, </w:t>
            </w:r>
            <w:r>
              <w:t>traduzione</w:t>
            </w:r>
            <w:r w:rsidR="00606970">
              <w:t>, mutazioni geniche ed influenza sulla struttura e funzione delle proteine</w:t>
            </w:r>
            <w:r w:rsidR="00EF58D2">
              <w:t>.</w:t>
            </w:r>
          </w:p>
        </w:tc>
        <w:tc>
          <w:tcPr>
            <w:tcW w:w="1160" w:type="dxa"/>
            <w:shd w:val="clear" w:color="auto" w:fill="auto"/>
          </w:tcPr>
          <w:p w14:paraId="0F01081F" w14:textId="30371359" w:rsidR="00EF58D2" w:rsidRPr="004858ED" w:rsidRDefault="00495437" w:rsidP="00EF58D2">
            <w:r>
              <w:t>0</w:t>
            </w:r>
            <w:r w:rsidR="005B5C39">
              <w:t>.</w:t>
            </w:r>
            <w:r>
              <w:t>5</w:t>
            </w:r>
          </w:p>
        </w:tc>
      </w:tr>
      <w:tr w:rsidR="00EF58D2" w:rsidRPr="00A34511" w14:paraId="56043370" w14:textId="77777777" w:rsidTr="00EF58D2">
        <w:tc>
          <w:tcPr>
            <w:tcW w:w="5746" w:type="dxa"/>
            <w:shd w:val="clear" w:color="auto" w:fill="auto"/>
          </w:tcPr>
          <w:p w14:paraId="0606C6CB" w14:textId="77777777" w:rsidR="00EF58D2" w:rsidRPr="00A34511" w:rsidRDefault="00F91E68" w:rsidP="006E52C6">
            <w:r>
              <w:t>Il controllo dell’espressione genica a livello trascrizionale</w:t>
            </w:r>
            <w:r w:rsidR="00606970">
              <w:t xml:space="preserve"> nei procarioti e negli eucarioti</w:t>
            </w:r>
            <w:r>
              <w:t>, post-trascrizionale, traduzionale e post-traduzionale.</w:t>
            </w:r>
          </w:p>
        </w:tc>
        <w:tc>
          <w:tcPr>
            <w:tcW w:w="1160" w:type="dxa"/>
            <w:shd w:val="clear" w:color="auto" w:fill="auto"/>
          </w:tcPr>
          <w:p w14:paraId="4D050E58" w14:textId="0788C9D5" w:rsidR="00EF58D2" w:rsidRPr="00A34511" w:rsidRDefault="006E52C6" w:rsidP="00EF58D2">
            <w:r w:rsidRPr="00A34511">
              <w:t>0</w:t>
            </w:r>
            <w:r w:rsidR="005B5C39">
              <w:t>.</w:t>
            </w:r>
            <w:r w:rsidRPr="00A34511">
              <w:t>5</w:t>
            </w:r>
          </w:p>
        </w:tc>
      </w:tr>
      <w:tr w:rsidR="00EF58D2" w:rsidRPr="00A34511" w14:paraId="08D2A7D9" w14:textId="77777777" w:rsidTr="00EF58D2">
        <w:tc>
          <w:tcPr>
            <w:tcW w:w="5746" w:type="dxa"/>
            <w:shd w:val="clear" w:color="auto" w:fill="auto"/>
          </w:tcPr>
          <w:p w14:paraId="7A3637FC" w14:textId="0CC8E6B0" w:rsidR="00EF58D2" w:rsidRPr="00A34511" w:rsidRDefault="00F91E68" w:rsidP="00EF58D2">
            <w:r>
              <w:t>Tecnologie del DNA</w:t>
            </w:r>
            <w:r w:rsidR="00606970">
              <w:t>: clonaggio del DNA, applicazioni delle tecnologie del DNA</w:t>
            </w:r>
            <w:r w:rsidR="005B48F1">
              <w:t xml:space="preserve"> (diagnostica, </w:t>
            </w:r>
            <w:proofErr w:type="spellStart"/>
            <w:r w:rsidR="005B48F1">
              <w:t>fingerprinting</w:t>
            </w:r>
            <w:proofErr w:type="spellEnd"/>
            <w:r w:rsidR="005B48F1">
              <w:t>, ingegneria genetica)</w:t>
            </w:r>
            <w:r w:rsidR="00886A08">
              <w:t xml:space="preserve"> </w:t>
            </w:r>
            <w:r>
              <w:t>e analisi del genoma</w:t>
            </w:r>
            <w:r w:rsidR="005B48F1">
              <w:t xml:space="preserve"> (sequenziamento del DNA, genomica strutturale e funzionale, biologia dei sistemi)</w:t>
            </w:r>
            <w:r>
              <w:t>.</w:t>
            </w:r>
          </w:p>
        </w:tc>
        <w:tc>
          <w:tcPr>
            <w:tcW w:w="1160" w:type="dxa"/>
            <w:shd w:val="clear" w:color="auto" w:fill="auto"/>
          </w:tcPr>
          <w:p w14:paraId="0D0EB8C2" w14:textId="77777777" w:rsidR="00EF58D2" w:rsidRPr="00A34511" w:rsidRDefault="00EF58D2" w:rsidP="00EF58D2">
            <w:r w:rsidRPr="00A34511">
              <w:t>1.0</w:t>
            </w:r>
          </w:p>
        </w:tc>
      </w:tr>
      <w:tr w:rsidR="00E86B20" w:rsidRPr="00A34511" w14:paraId="15437B9C" w14:textId="77777777" w:rsidTr="00EF58D2">
        <w:tc>
          <w:tcPr>
            <w:tcW w:w="5746" w:type="dxa"/>
            <w:shd w:val="clear" w:color="auto" w:fill="auto"/>
          </w:tcPr>
          <w:p w14:paraId="147DDA3F" w14:textId="77777777" w:rsidR="00D510BB" w:rsidRDefault="00D510BB" w:rsidP="00D510BB">
            <w:r w:rsidRPr="004718F1">
              <w:rPr>
                <w:i/>
              </w:rPr>
              <w:t>Esercitazioni</w:t>
            </w:r>
            <w:r>
              <w:t>.</w:t>
            </w:r>
          </w:p>
          <w:p w14:paraId="3B2A4F05" w14:textId="77777777" w:rsidR="00E86B20" w:rsidRDefault="00D510BB" w:rsidP="00EF58D2">
            <w:r w:rsidRPr="00A34511">
              <w:t>Applicazione di metodi di biologia molecolare per l’analisi degli acidi nucleici</w:t>
            </w:r>
            <w:r>
              <w:t xml:space="preserve"> comprendenti: la purificazione e la quantificazione del DNA genomico, il disegno di primers e l’amplificazione di specifici geni mediante PCR, l’analisi di marcatori SSR, il clonaggio genico in vettori </w:t>
            </w:r>
            <w:proofErr w:type="spellStart"/>
            <w:r>
              <w:t>plasmidici</w:t>
            </w:r>
            <w:proofErr w:type="spellEnd"/>
            <w:r>
              <w:t>.</w:t>
            </w:r>
          </w:p>
        </w:tc>
        <w:tc>
          <w:tcPr>
            <w:tcW w:w="1160" w:type="dxa"/>
            <w:shd w:val="clear" w:color="auto" w:fill="auto"/>
          </w:tcPr>
          <w:p w14:paraId="61264C21" w14:textId="79458758" w:rsidR="00E86B20" w:rsidRPr="00A34511" w:rsidRDefault="00D510BB" w:rsidP="00EF58D2">
            <w:r>
              <w:t>1</w:t>
            </w:r>
            <w:r w:rsidR="005B5C39">
              <w:t>.</w:t>
            </w:r>
            <w:r>
              <w:t>0</w:t>
            </w:r>
          </w:p>
        </w:tc>
      </w:tr>
      <w:tr w:rsidR="00D510BB" w:rsidRPr="00A34511" w14:paraId="540A9845" w14:textId="77777777" w:rsidTr="00EF58D2">
        <w:tc>
          <w:tcPr>
            <w:tcW w:w="5746" w:type="dxa"/>
            <w:shd w:val="clear" w:color="auto" w:fill="auto"/>
          </w:tcPr>
          <w:p w14:paraId="58E9DF8B" w14:textId="77777777" w:rsidR="00D510BB" w:rsidRDefault="00D510BB" w:rsidP="00D510BB"/>
        </w:tc>
        <w:tc>
          <w:tcPr>
            <w:tcW w:w="1160" w:type="dxa"/>
            <w:shd w:val="clear" w:color="auto" w:fill="auto"/>
          </w:tcPr>
          <w:p w14:paraId="1F31C977" w14:textId="77777777" w:rsidR="00D510BB" w:rsidRDefault="00D510BB" w:rsidP="00EF58D2"/>
        </w:tc>
      </w:tr>
      <w:tr w:rsidR="00EF58D2" w:rsidRPr="00A34511" w14:paraId="524E94B9" w14:textId="77777777" w:rsidTr="00EF58D2">
        <w:tc>
          <w:tcPr>
            <w:tcW w:w="5746" w:type="dxa"/>
            <w:shd w:val="clear" w:color="auto" w:fill="auto"/>
          </w:tcPr>
          <w:p w14:paraId="35807831" w14:textId="77777777" w:rsidR="00EF58D2" w:rsidRPr="00A34511" w:rsidRDefault="00F91E68" w:rsidP="00EF58D2">
            <w:r>
              <w:t xml:space="preserve">Modulo B </w:t>
            </w:r>
          </w:p>
        </w:tc>
        <w:tc>
          <w:tcPr>
            <w:tcW w:w="1160" w:type="dxa"/>
            <w:shd w:val="clear" w:color="auto" w:fill="auto"/>
          </w:tcPr>
          <w:p w14:paraId="1C8FC393" w14:textId="77777777" w:rsidR="00EF58D2" w:rsidRPr="00A34511" w:rsidRDefault="00EF58D2" w:rsidP="00EF58D2"/>
        </w:tc>
      </w:tr>
      <w:tr w:rsidR="00EF58D2" w:rsidRPr="00A34511" w14:paraId="1974C4B4" w14:textId="77777777" w:rsidTr="00EF58D2">
        <w:tc>
          <w:tcPr>
            <w:tcW w:w="5746" w:type="dxa"/>
            <w:shd w:val="clear" w:color="auto" w:fill="auto"/>
          </w:tcPr>
          <w:p w14:paraId="2BAC717F" w14:textId="388BA74E" w:rsidR="00EF58D2" w:rsidRPr="00A34511" w:rsidRDefault="00F91E68" w:rsidP="00EF58D2">
            <w:r>
              <w:t xml:space="preserve">Meiosi: </w:t>
            </w:r>
            <w:r w:rsidR="00E86B20">
              <w:t>i meccanismi che producono</w:t>
            </w:r>
            <w:r>
              <w:t xml:space="preserve"> variabilità genetica.</w:t>
            </w:r>
          </w:p>
        </w:tc>
        <w:tc>
          <w:tcPr>
            <w:tcW w:w="1160" w:type="dxa"/>
            <w:shd w:val="clear" w:color="auto" w:fill="auto"/>
          </w:tcPr>
          <w:p w14:paraId="118AEB62" w14:textId="1DB9448F" w:rsidR="00EF58D2" w:rsidRPr="00A34511" w:rsidRDefault="00495437" w:rsidP="00EF58D2">
            <w:r>
              <w:t>0</w:t>
            </w:r>
            <w:r w:rsidR="005B5C39">
              <w:t>.</w:t>
            </w:r>
            <w:r>
              <w:t>5</w:t>
            </w:r>
          </w:p>
        </w:tc>
      </w:tr>
      <w:tr w:rsidR="006E52C6" w:rsidRPr="00A34511" w14:paraId="66FF9D16" w14:textId="77777777" w:rsidTr="00EF58D2">
        <w:tc>
          <w:tcPr>
            <w:tcW w:w="5746" w:type="dxa"/>
            <w:shd w:val="clear" w:color="auto" w:fill="auto"/>
          </w:tcPr>
          <w:p w14:paraId="2FAAE66A" w14:textId="77777777" w:rsidR="006E52C6" w:rsidRPr="00A34511" w:rsidRDefault="00F91E68" w:rsidP="00606970">
            <w:r>
              <w:t>Mendel, i geni e l’ereditarietà</w:t>
            </w:r>
            <w:r w:rsidR="00E86B20">
              <w:t xml:space="preserve">, estensioni alle leggi di Mendel, </w:t>
            </w:r>
            <w:r w:rsidR="00606970">
              <w:t xml:space="preserve">verifica delle ipotesi genetiche; </w:t>
            </w:r>
            <w:r w:rsidR="00E86B20">
              <w:t>eredità citoplasmatica</w:t>
            </w:r>
            <w:r w:rsidR="00606970">
              <w:t xml:space="preserve"> e maschio-sterilità.</w:t>
            </w:r>
          </w:p>
        </w:tc>
        <w:tc>
          <w:tcPr>
            <w:tcW w:w="1160" w:type="dxa"/>
            <w:shd w:val="clear" w:color="auto" w:fill="auto"/>
          </w:tcPr>
          <w:p w14:paraId="4A562CC0" w14:textId="6374ECDA" w:rsidR="006E52C6" w:rsidRPr="00A34511" w:rsidRDefault="00495437" w:rsidP="00EF58D2">
            <w:pPr>
              <w:rPr>
                <w:i/>
              </w:rPr>
            </w:pPr>
            <w:r>
              <w:t>1</w:t>
            </w:r>
            <w:r w:rsidR="005B5C39">
              <w:t>.</w:t>
            </w:r>
            <w:r>
              <w:t>0</w:t>
            </w:r>
          </w:p>
        </w:tc>
      </w:tr>
      <w:tr w:rsidR="00F91E68" w:rsidRPr="00A34511" w14:paraId="1E2481AF" w14:textId="77777777" w:rsidTr="00EF58D2">
        <w:tc>
          <w:tcPr>
            <w:tcW w:w="5746" w:type="dxa"/>
            <w:shd w:val="clear" w:color="auto" w:fill="auto"/>
          </w:tcPr>
          <w:p w14:paraId="773A3EF0" w14:textId="77777777" w:rsidR="00F91E68" w:rsidRDefault="00F91E68" w:rsidP="00EF58D2">
            <w:r>
              <w:t>Geni e cromosomi: associazione</w:t>
            </w:r>
            <w:r w:rsidR="00E86B20">
              <w:t xml:space="preserve"> e ricombinazione</w:t>
            </w:r>
            <w:r>
              <w:t xml:space="preserve">, </w:t>
            </w:r>
            <w:r w:rsidR="00E86B20">
              <w:t xml:space="preserve">realizzazione di mappe genetiche, </w:t>
            </w:r>
            <w:r>
              <w:t>geni legati al sesso</w:t>
            </w:r>
            <w:r w:rsidR="00A147CC">
              <w:t xml:space="preserve">, </w:t>
            </w:r>
            <w:r>
              <w:t>alterazioni cromosomiche</w:t>
            </w:r>
            <w:r w:rsidR="00A147CC">
              <w:t xml:space="preserve"> e genomiche</w:t>
            </w:r>
          </w:p>
        </w:tc>
        <w:tc>
          <w:tcPr>
            <w:tcW w:w="1160" w:type="dxa"/>
            <w:shd w:val="clear" w:color="auto" w:fill="auto"/>
          </w:tcPr>
          <w:p w14:paraId="108D7740" w14:textId="3A9AF9B7" w:rsidR="00F91E68" w:rsidRPr="00A34511" w:rsidRDefault="00495437" w:rsidP="00EF58D2">
            <w:r>
              <w:t>1</w:t>
            </w:r>
            <w:r w:rsidR="005B5C39">
              <w:t>.</w:t>
            </w:r>
            <w:r>
              <w:t>0</w:t>
            </w:r>
          </w:p>
        </w:tc>
      </w:tr>
      <w:tr w:rsidR="00F91E68" w:rsidRPr="00A34511" w14:paraId="33923D5C" w14:textId="77777777" w:rsidTr="00EF58D2">
        <w:tc>
          <w:tcPr>
            <w:tcW w:w="5746" w:type="dxa"/>
            <w:shd w:val="clear" w:color="auto" w:fill="auto"/>
          </w:tcPr>
          <w:p w14:paraId="798FC939" w14:textId="77777777" w:rsidR="00F91E68" w:rsidRPr="00A34511" w:rsidRDefault="00F91E68" w:rsidP="00EF58D2">
            <w:r>
              <w:lastRenderedPageBreak/>
              <w:t>Cambiamenti genetici all’interno delle popolazioni</w:t>
            </w:r>
            <w:r w:rsidR="00954262">
              <w:t xml:space="preserve">: mutazione, selezione, deriva genetica, flusso genico, inincrocio ed </w:t>
            </w:r>
            <w:proofErr w:type="spellStart"/>
            <w:r w:rsidR="00954262">
              <w:t>eterosi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14:paraId="1C2787D2" w14:textId="289DFF15" w:rsidR="00F91E68" w:rsidRPr="00A34511" w:rsidRDefault="00495437" w:rsidP="00EF58D2">
            <w:r>
              <w:t>0</w:t>
            </w:r>
            <w:r w:rsidR="005B5C39">
              <w:t>.</w:t>
            </w:r>
            <w:r>
              <w:t>5</w:t>
            </w:r>
          </w:p>
        </w:tc>
      </w:tr>
      <w:tr w:rsidR="00F91E68" w:rsidRPr="00A34511" w14:paraId="0898FF47" w14:textId="77777777" w:rsidTr="00EF58D2">
        <w:tc>
          <w:tcPr>
            <w:tcW w:w="5746" w:type="dxa"/>
            <w:shd w:val="clear" w:color="auto" w:fill="auto"/>
          </w:tcPr>
          <w:p w14:paraId="0C48C37F" w14:textId="77777777" w:rsidR="00F91E68" w:rsidRPr="00A34511" w:rsidRDefault="00F91E68" w:rsidP="00EF58D2">
            <w:r>
              <w:t>Genetica dei caratteri quantitativi</w:t>
            </w:r>
            <w:r w:rsidR="00954262">
              <w:t xml:space="preserve">: eredità poligenica, risposta alla selezione, sviluppo di popolazioni di </w:t>
            </w:r>
            <w:proofErr w:type="spellStart"/>
            <w:r w:rsidR="00954262">
              <w:t>mappaggio</w:t>
            </w:r>
            <w:proofErr w:type="spellEnd"/>
            <w:r w:rsidR="00954262">
              <w:t xml:space="preserve"> e loro caratterizzazione fenotipica e genotipica metodi di </w:t>
            </w:r>
            <w:proofErr w:type="spellStart"/>
            <w:r w:rsidR="00954262">
              <w:t>mappaggio</w:t>
            </w:r>
            <w:proofErr w:type="spellEnd"/>
            <w:r w:rsidR="00954262">
              <w:t xml:space="preserve"> di QTL e per associazione. </w:t>
            </w:r>
          </w:p>
        </w:tc>
        <w:tc>
          <w:tcPr>
            <w:tcW w:w="1160" w:type="dxa"/>
            <w:shd w:val="clear" w:color="auto" w:fill="auto"/>
          </w:tcPr>
          <w:p w14:paraId="5E80A724" w14:textId="176C860C" w:rsidR="00F91E68" w:rsidRPr="00A34511" w:rsidRDefault="002D276E" w:rsidP="00EF58D2">
            <w:r>
              <w:t>1</w:t>
            </w:r>
            <w:r w:rsidR="005B5C39">
              <w:t>.</w:t>
            </w:r>
            <w:r>
              <w:t>0</w:t>
            </w:r>
          </w:p>
        </w:tc>
      </w:tr>
      <w:tr w:rsidR="00EF58D2" w:rsidRPr="00A34511" w14:paraId="18A01C5D" w14:textId="77777777" w:rsidTr="00EF58D2">
        <w:tc>
          <w:tcPr>
            <w:tcW w:w="5746" w:type="dxa"/>
            <w:shd w:val="clear" w:color="auto" w:fill="auto"/>
          </w:tcPr>
          <w:p w14:paraId="7085E92F" w14:textId="77777777" w:rsidR="00EF58D2" w:rsidRPr="00A34511" w:rsidRDefault="00EF58D2" w:rsidP="00EF58D2">
            <w:r w:rsidRPr="004718F1">
              <w:rPr>
                <w:i/>
              </w:rPr>
              <w:t>Esercitazioni</w:t>
            </w:r>
            <w:r w:rsidRPr="00A34511">
              <w:t>.</w:t>
            </w:r>
          </w:p>
          <w:p w14:paraId="5C4F9839" w14:textId="77777777" w:rsidR="00EF58D2" w:rsidRPr="00A34511" w:rsidRDefault="00EF58D2" w:rsidP="00D510BB">
            <w:r w:rsidRPr="00A34511">
              <w:t>Soluzione di problemi di genetica formale</w:t>
            </w:r>
            <w:r w:rsidR="00D510BB">
              <w:t xml:space="preserve">, </w:t>
            </w:r>
            <w:r w:rsidR="00A36894" w:rsidRPr="00A34511">
              <w:t xml:space="preserve">di mappatura </w:t>
            </w:r>
            <w:r w:rsidR="00606970">
              <w:t>genetica</w:t>
            </w:r>
            <w:r w:rsidR="00D510BB">
              <w:t>, di genetica di popolazioni e di genetica dei caratteri quantitativi.</w:t>
            </w:r>
          </w:p>
        </w:tc>
        <w:tc>
          <w:tcPr>
            <w:tcW w:w="1160" w:type="dxa"/>
            <w:shd w:val="clear" w:color="auto" w:fill="auto"/>
          </w:tcPr>
          <w:p w14:paraId="748FAF20" w14:textId="77777777" w:rsidR="00EF58D2" w:rsidRPr="00A34511" w:rsidRDefault="00EF58D2" w:rsidP="00EF58D2"/>
          <w:p w14:paraId="473E5875" w14:textId="169E97B0" w:rsidR="00EF58D2" w:rsidRPr="00A34511" w:rsidRDefault="002D276E" w:rsidP="00EF58D2">
            <w:r>
              <w:t>0</w:t>
            </w:r>
            <w:r w:rsidR="005B5C39">
              <w:t>.</w:t>
            </w:r>
            <w:r>
              <w:t>5</w:t>
            </w:r>
          </w:p>
          <w:p w14:paraId="3DD467D5" w14:textId="77777777" w:rsidR="00EF58D2" w:rsidRPr="00A34511" w:rsidRDefault="00EF58D2" w:rsidP="00EF58D2"/>
        </w:tc>
      </w:tr>
    </w:tbl>
    <w:p w14:paraId="516CE849" w14:textId="77777777" w:rsidR="00EF58D2" w:rsidRDefault="00EF58D2" w:rsidP="00E51E67"/>
    <w:p w14:paraId="5A1823D1" w14:textId="77777777" w:rsidR="00E51E67" w:rsidRDefault="00E51E67" w:rsidP="00E51E67">
      <w:pPr>
        <w:keepNext/>
        <w:spacing w:before="240" w:after="120"/>
        <w:rPr>
          <w:b/>
          <w:i/>
          <w:sz w:val="18"/>
        </w:rPr>
      </w:pPr>
      <w:r w:rsidRPr="00A34511">
        <w:rPr>
          <w:b/>
          <w:i/>
          <w:sz w:val="18"/>
        </w:rPr>
        <w:t>BIBLIOGRAFIA</w:t>
      </w:r>
    </w:p>
    <w:p w14:paraId="6B22E6F5" w14:textId="77777777" w:rsidR="00495437" w:rsidRDefault="008E6D7D" w:rsidP="00A82F08">
      <w:pPr>
        <w:keepNext/>
        <w:spacing w:before="240"/>
        <w:contextualSpacing/>
        <w:rPr>
          <w:smallCaps/>
          <w:spacing w:val="-5"/>
          <w:sz w:val="16"/>
        </w:rPr>
      </w:pPr>
      <w:proofErr w:type="spellStart"/>
      <w:r w:rsidRPr="00D510BB">
        <w:rPr>
          <w:smallCaps/>
          <w:spacing w:val="-5"/>
          <w:sz w:val="16"/>
          <w:lang w:val="en-US"/>
        </w:rPr>
        <w:t>Pj</w:t>
      </w:r>
      <w:proofErr w:type="spellEnd"/>
      <w:r w:rsidRPr="00D510BB">
        <w:rPr>
          <w:smallCaps/>
          <w:spacing w:val="-5"/>
          <w:sz w:val="16"/>
          <w:lang w:val="en-US"/>
        </w:rPr>
        <w:t xml:space="preserve">. Russell, SL. Wolfe, </w:t>
      </w:r>
      <w:r w:rsidR="00006FDE" w:rsidRPr="00D510BB">
        <w:rPr>
          <w:smallCaps/>
          <w:spacing w:val="-5"/>
          <w:sz w:val="16"/>
          <w:lang w:val="en-US"/>
        </w:rPr>
        <w:t xml:space="preserve">PE. </w:t>
      </w:r>
      <w:r>
        <w:rPr>
          <w:smallCaps/>
          <w:spacing w:val="-5"/>
          <w:sz w:val="16"/>
        </w:rPr>
        <w:t>Hertz,</w:t>
      </w:r>
      <w:r w:rsidR="00006FDE">
        <w:rPr>
          <w:smallCaps/>
          <w:spacing w:val="-5"/>
          <w:sz w:val="16"/>
        </w:rPr>
        <w:t xml:space="preserve"> C.</w:t>
      </w:r>
      <w:r>
        <w:rPr>
          <w:smallCaps/>
          <w:spacing w:val="-5"/>
          <w:sz w:val="16"/>
        </w:rPr>
        <w:t xml:space="preserve"> Starr,</w:t>
      </w:r>
      <w:r w:rsidR="00006FDE">
        <w:rPr>
          <w:smallCaps/>
          <w:spacing w:val="-5"/>
          <w:sz w:val="16"/>
        </w:rPr>
        <w:t xml:space="preserve"> B.</w:t>
      </w:r>
      <w:r>
        <w:rPr>
          <w:smallCaps/>
          <w:spacing w:val="-5"/>
          <w:sz w:val="16"/>
        </w:rPr>
        <w:t xml:space="preserve"> </w:t>
      </w:r>
      <w:proofErr w:type="gramStart"/>
      <w:r>
        <w:rPr>
          <w:smallCaps/>
          <w:spacing w:val="-5"/>
          <w:sz w:val="16"/>
        </w:rPr>
        <w:t>McMillan,</w:t>
      </w:r>
      <w:r w:rsidR="00006FDE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 xml:space="preserve"> </w:t>
      </w:r>
      <w:r w:rsidRPr="00BC2797">
        <w:rPr>
          <w:i/>
          <w:spacing w:val="-5"/>
          <w:sz w:val="16"/>
        </w:rPr>
        <w:t>Genetica</w:t>
      </w:r>
      <w:proofErr w:type="gramEnd"/>
      <w:r w:rsidRPr="00BC2797">
        <w:rPr>
          <w:i/>
          <w:spacing w:val="-5"/>
          <w:sz w:val="16"/>
        </w:rPr>
        <w:t xml:space="preserve"> Agraria</w:t>
      </w:r>
      <w:r>
        <w:rPr>
          <w:smallCaps/>
          <w:spacing w:val="-5"/>
          <w:sz w:val="16"/>
        </w:rPr>
        <w:t xml:space="preserve">, </w:t>
      </w:r>
      <w:r w:rsidRPr="00D510BB">
        <w:rPr>
          <w:spacing w:val="-5"/>
          <w:sz w:val="16"/>
        </w:rPr>
        <w:t>Edizione integrata a cura di</w:t>
      </w:r>
      <w:r>
        <w:rPr>
          <w:smallCaps/>
          <w:spacing w:val="-5"/>
          <w:sz w:val="16"/>
        </w:rPr>
        <w:t xml:space="preserve"> </w:t>
      </w:r>
      <w:r w:rsidR="00495437">
        <w:rPr>
          <w:smallCaps/>
          <w:spacing w:val="-5"/>
          <w:sz w:val="16"/>
        </w:rPr>
        <w:t xml:space="preserve">M. Busconi, C. Comino, G. Consonni, A. Marocco, A. Porceddu, E. Portis, R. Rao, , </w:t>
      </w:r>
      <w:r w:rsidR="00495437" w:rsidRPr="00BC2797">
        <w:rPr>
          <w:spacing w:val="-5"/>
          <w:sz w:val="16"/>
        </w:rPr>
        <w:t>EDISES, Napoli</w:t>
      </w:r>
      <w:r w:rsidR="00495437">
        <w:rPr>
          <w:smallCaps/>
          <w:spacing w:val="-5"/>
          <w:sz w:val="16"/>
        </w:rPr>
        <w:t>, 2016.</w:t>
      </w:r>
    </w:p>
    <w:p w14:paraId="350343A2" w14:textId="77777777" w:rsidR="00DF037F" w:rsidRDefault="00DF037F" w:rsidP="00A82F08">
      <w:pPr>
        <w:keepNext/>
        <w:spacing w:before="240"/>
        <w:contextualSpacing/>
        <w:rPr>
          <w:smallCaps/>
          <w:spacing w:val="-5"/>
          <w:sz w:val="16"/>
        </w:rPr>
      </w:pPr>
      <w:r w:rsidRPr="00DC7870">
        <w:rPr>
          <w:smallCaps/>
          <w:spacing w:val="-5"/>
          <w:sz w:val="16"/>
        </w:rPr>
        <w:t xml:space="preserve">S. </w:t>
      </w:r>
      <w:proofErr w:type="spellStart"/>
      <w:r w:rsidRPr="00DC7870">
        <w:rPr>
          <w:smallCaps/>
          <w:spacing w:val="-5"/>
          <w:sz w:val="16"/>
        </w:rPr>
        <w:t>Pimpinelli</w:t>
      </w:r>
      <w:proofErr w:type="spellEnd"/>
      <w:r w:rsidRPr="00DC7870">
        <w:rPr>
          <w:smallCaps/>
          <w:spacing w:val="-5"/>
          <w:sz w:val="16"/>
        </w:rPr>
        <w:t xml:space="preserve">, </w:t>
      </w:r>
      <w:r w:rsidRPr="00DC7870">
        <w:rPr>
          <w:i/>
          <w:spacing w:val="-5"/>
          <w:sz w:val="16"/>
        </w:rPr>
        <w:t>Genetica</w:t>
      </w:r>
      <w:r w:rsidRPr="00DC7870">
        <w:rPr>
          <w:smallCaps/>
          <w:spacing w:val="-5"/>
          <w:sz w:val="16"/>
        </w:rPr>
        <w:t xml:space="preserve">, </w:t>
      </w:r>
      <w:r w:rsidRPr="00DC7870">
        <w:rPr>
          <w:spacing w:val="-5"/>
          <w:sz w:val="16"/>
        </w:rPr>
        <w:t>Casa Editrice Ambrosiana</w:t>
      </w:r>
      <w:r w:rsidRPr="00DC7870">
        <w:rPr>
          <w:smallCaps/>
          <w:spacing w:val="-5"/>
          <w:sz w:val="16"/>
        </w:rPr>
        <w:t xml:space="preserve">, </w:t>
      </w:r>
      <w:r w:rsidRPr="00DC7870">
        <w:rPr>
          <w:spacing w:val="-5"/>
          <w:sz w:val="16"/>
        </w:rPr>
        <w:t>Milano</w:t>
      </w:r>
      <w:r w:rsidRPr="00DC7870">
        <w:rPr>
          <w:smallCaps/>
          <w:spacing w:val="-5"/>
          <w:sz w:val="16"/>
        </w:rPr>
        <w:t>, 2014.</w:t>
      </w:r>
    </w:p>
    <w:p w14:paraId="7F481485" w14:textId="6D9E6647" w:rsidR="00006FDE" w:rsidRDefault="00006FDE" w:rsidP="00A82F08">
      <w:pPr>
        <w:spacing w:line="240" w:lineRule="atLeast"/>
        <w:ind w:left="284" w:hanging="284"/>
        <w:contextualSpacing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 xml:space="preserve">F. Lorenzetti, S. Ceccarelli, D. Rosellini, F. Veronesi, </w:t>
      </w:r>
      <w:r w:rsidRPr="00D510BB">
        <w:rPr>
          <w:i/>
          <w:spacing w:val="-5"/>
          <w:sz w:val="16"/>
        </w:rPr>
        <w:t>Genetica Agraria</w:t>
      </w:r>
      <w:r>
        <w:rPr>
          <w:smallCaps/>
          <w:spacing w:val="-5"/>
          <w:sz w:val="16"/>
        </w:rPr>
        <w:t xml:space="preserve">, </w:t>
      </w:r>
      <w:r w:rsidRPr="00D510BB">
        <w:rPr>
          <w:spacing w:val="-5"/>
          <w:sz w:val="16"/>
        </w:rPr>
        <w:t xml:space="preserve">Patron Editore, </w:t>
      </w:r>
      <w:proofErr w:type="spellStart"/>
      <w:r w:rsidRPr="00D510BB">
        <w:rPr>
          <w:spacing w:val="-5"/>
          <w:sz w:val="16"/>
        </w:rPr>
        <w:t>Bolgna</w:t>
      </w:r>
      <w:proofErr w:type="spellEnd"/>
      <w:r>
        <w:rPr>
          <w:smallCaps/>
          <w:spacing w:val="-5"/>
          <w:sz w:val="16"/>
        </w:rPr>
        <w:t>, 2011.</w:t>
      </w:r>
    </w:p>
    <w:p w14:paraId="0B483D29" w14:textId="77777777" w:rsidR="007E34E7" w:rsidRPr="007E34E7" w:rsidRDefault="007E34E7" w:rsidP="00A82F08">
      <w:pPr>
        <w:spacing w:line="240" w:lineRule="atLeast"/>
        <w:ind w:left="284" w:hanging="284"/>
        <w:contextualSpacing/>
        <w:rPr>
          <w:spacing w:val="-5"/>
          <w:sz w:val="16"/>
        </w:rPr>
      </w:pPr>
      <w:r>
        <w:rPr>
          <w:smallCaps/>
          <w:spacing w:val="-5"/>
          <w:sz w:val="16"/>
        </w:rPr>
        <w:t>G</w:t>
      </w:r>
      <w:r w:rsidRPr="00EE6566">
        <w:rPr>
          <w:smallCaps/>
          <w:spacing w:val="-5"/>
          <w:sz w:val="16"/>
          <w:lang w:val="fr-FR"/>
        </w:rPr>
        <w:t>. B</w:t>
      </w:r>
      <w:r w:rsidR="00EE6566">
        <w:rPr>
          <w:smallCaps/>
          <w:spacing w:val="-5"/>
          <w:sz w:val="16"/>
          <w:lang w:val="fr-FR"/>
        </w:rPr>
        <w:t>arcaccia</w:t>
      </w:r>
      <w:r>
        <w:rPr>
          <w:smallCaps/>
          <w:spacing w:val="-5"/>
          <w:sz w:val="16"/>
        </w:rPr>
        <w:t>-M. F</w:t>
      </w:r>
      <w:r w:rsidR="00EE6566">
        <w:rPr>
          <w:smallCaps/>
          <w:spacing w:val="-5"/>
          <w:sz w:val="16"/>
        </w:rPr>
        <w:t>alcinelli</w:t>
      </w:r>
      <w:r>
        <w:rPr>
          <w:smallCaps/>
          <w:spacing w:val="-5"/>
          <w:sz w:val="16"/>
        </w:rPr>
        <w:t xml:space="preserve">, </w:t>
      </w:r>
      <w:r w:rsidRPr="007E34E7">
        <w:rPr>
          <w:i/>
          <w:spacing w:val="-5"/>
          <w:sz w:val="16"/>
        </w:rPr>
        <w:t>Genetica e Genomica</w:t>
      </w:r>
      <w:r>
        <w:rPr>
          <w:smallCaps/>
          <w:spacing w:val="-5"/>
          <w:sz w:val="16"/>
        </w:rPr>
        <w:t xml:space="preserve">, Volume I, </w:t>
      </w:r>
      <w:r w:rsidRPr="007E34E7">
        <w:rPr>
          <w:i/>
          <w:spacing w:val="-5"/>
          <w:sz w:val="16"/>
        </w:rPr>
        <w:t>Genetica generale</w:t>
      </w:r>
      <w:r>
        <w:rPr>
          <w:smallCaps/>
          <w:spacing w:val="-5"/>
          <w:sz w:val="16"/>
        </w:rPr>
        <w:t xml:space="preserve">, </w:t>
      </w:r>
      <w:r w:rsidRPr="007E34E7">
        <w:rPr>
          <w:spacing w:val="-5"/>
          <w:sz w:val="16"/>
        </w:rPr>
        <w:t>Liguori Editore, Napoli, 2008.</w:t>
      </w:r>
    </w:p>
    <w:p w14:paraId="6D5F17B2" w14:textId="77777777" w:rsidR="00E51E67" w:rsidRPr="00EE6566" w:rsidRDefault="00E51E67" w:rsidP="00E51E67">
      <w:pPr>
        <w:spacing w:line="240" w:lineRule="atLeast"/>
        <w:ind w:left="284" w:hanging="284"/>
        <w:rPr>
          <w:spacing w:val="-5"/>
          <w:sz w:val="16"/>
          <w:szCs w:val="16"/>
        </w:rPr>
      </w:pPr>
    </w:p>
    <w:p w14:paraId="741D04A4" w14:textId="77777777" w:rsidR="00E51E67" w:rsidRDefault="00E51E67" w:rsidP="00E51E6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84806E2" w14:textId="77777777" w:rsidR="002041C4" w:rsidRDefault="002041C4" w:rsidP="008B1178">
      <w:pPr>
        <w:pStyle w:val="Testo2"/>
        <w:numPr>
          <w:ilvl w:val="0"/>
          <w:numId w:val="1"/>
        </w:numPr>
      </w:pPr>
      <w:r>
        <w:t>Lezioni frontali e dialogate di tipo teorico in cui vengono esposti i concetti chiave della materia con alcuni esempi applicativi;</w:t>
      </w:r>
    </w:p>
    <w:p w14:paraId="1E3CD6F5" w14:textId="77777777" w:rsidR="002041C4" w:rsidRDefault="002041C4" w:rsidP="008B1178">
      <w:pPr>
        <w:pStyle w:val="Testo2"/>
        <w:numPr>
          <w:ilvl w:val="0"/>
          <w:numId w:val="1"/>
        </w:numPr>
      </w:pPr>
      <w:r>
        <w:t>Esercitazioni frontali in aula riguardanti la risoluzione di problemi di genetica formale.</w:t>
      </w:r>
    </w:p>
    <w:p w14:paraId="1F0F3A17" w14:textId="77777777" w:rsidR="002041C4" w:rsidRDefault="002041C4" w:rsidP="002041C4">
      <w:pPr>
        <w:pStyle w:val="Testo2"/>
        <w:numPr>
          <w:ilvl w:val="0"/>
          <w:numId w:val="1"/>
        </w:numPr>
      </w:pPr>
      <w:r>
        <w:t>Lo studente svolgerà esperienze di laboratorio in gruppi di 12 persone che consisteranno nell’uso di  metodi molecolari per l’analisi degli acidi nucleici. Al termine delle</w:t>
      </w:r>
      <w:r w:rsidR="009973EA">
        <w:t xml:space="preserve"> esercitazioni in laboratorio, gli studenti</w:t>
      </w:r>
      <w:r>
        <w:t xml:space="preserve"> dovranno svolgere un test scritto di quat</w:t>
      </w:r>
      <w:r w:rsidR="009973EA">
        <w:t>t</w:t>
      </w:r>
      <w:r>
        <w:t>ro domande</w:t>
      </w:r>
      <w:r w:rsidR="009973EA">
        <w:t xml:space="preserve"> a risposta aperta che sarà valutato con un giudizio positivo o negativo</w:t>
      </w:r>
      <w:r w:rsidR="002B1FFE">
        <w:t xml:space="preserve"> e che</w:t>
      </w:r>
      <w:r w:rsidR="00FC0817">
        <w:t>,</w:t>
      </w:r>
      <w:r w:rsidR="002B1FFE">
        <w:t xml:space="preserve"> in caso positivo</w:t>
      </w:r>
      <w:r w:rsidR="00FC0817">
        <w:t>,</w:t>
      </w:r>
      <w:r w:rsidR="002B1FFE">
        <w:t xml:space="preserve"> </w:t>
      </w:r>
      <w:r w:rsidR="00FC0817">
        <w:t>darà un punto</w:t>
      </w:r>
      <w:r w:rsidR="002B1FFE">
        <w:t xml:space="preserve"> (1/30) per formare il voto finale.</w:t>
      </w:r>
      <w:r w:rsidR="009973EA">
        <w:t xml:space="preserve"> </w:t>
      </w:r>
    </w:p>
    <w:p w14:paraId="263449F7" w14:textId="77777777" w:rsidR="00E51E67" w:rsidRDefault="00E51E67" w:rsidP="00E51E6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C41858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F0658C1" w14:textId="397158CE" w:rsidR="00E51E67" w:rsidRPr="00A34511" w:rsidRDefault="0093432D" w:rsidP="00D510BB">
      <w:pPr>
        <w:pStyle w:val="Default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A34511">
        <w:rPr>
          <w:rFonts w:ascii="Times New Roman" w:hAnsi="Times New Roman"/>
          <w:sz w:val="18"/>
          <w:szCs w:val="18"/>
        </w:rPr>
        <w:t>L’esame è scritto e orale: la p</w:t>
      </w:r>
      <w:r w:rsidR="007E34E7" w:rsidRPr="00A34511">
        <w:rPr>
          <w:rFonts w:ascii="Times New Roman" w:hAnsi="Times New Roman"/>
          <w:sz w:val="18"/>
          <w:szCs w:val="18"/>
        </w:rPr>
        <w:t xml:space="preserve">rova </w:t>
      </w:r>
      <w:r w:rsidRPr="00A34511">
        <w:rPr>
          <w:rFonts w:ascii="Times New Roman" w:hAnsi="Times New Roman"/>
          <w:sz w:val="18"/>
          <w:szCs w:val="18"/>
        </w:rPr>
        <w:t xml:space="preserve">scritta riguarda </w:t>
      </w:r>
      <w:r w:rsidR="0091651A">
        <w:rPr>
          <w:rFonts w:ascii="Times New Roman" w:hAnsi="Times New Roman"/>
          <w:sz w:val="18"/>
          <w:szCs w:val="18"/>
        </w:rPr>
        <w:t xml:space="preserve">entrambi i moduli. </w:t>
      </w:r>
      <w:r w:rsidR="00A147CC">
        <w:rPr>
          <w:rFonts w:ascii="Times New Roman" w:hAnsi="Times New Roman"/>
          <w:sz w:val="18"/>
          <w:szCs w:val="18"/>
        </w:rPr>
        <w:t>La prova relativa al</w:t>
      </w:r>
      <w:r w:rsidR="0091651A">
        <w:rPr>
          <w:rFonts w:ascii="Times New Roman" w:hAnsi="Times New Roman"/>
          <w:sz w:val="18"/>
          <w:szCs w:val="18"/>
        </w:rPr>
        <w:t xml:space="preserve"> modulo A consta di 2 domande a risposta aperta e 4 </w:t>
      </w:r>
      <w:r w:rsidR="00AE0EF1">
        <w:rPr>
          <w:rFonts w:ascii="Times New Roman" w:hAnsi="Times New Roman"/>
          <w:sz w:val="18"/>
          <w:szCs w:val="18"/>
        </w:rPr>
        <w:t xml:space="preserve">domande </w:t>
      </w:r>
      <w:r w:rsidR="0091651A">
        <w:rPr>
          <w:rFonts w:ascii="Times New Roman" w:hAnsi="Times New Roman"/>
          <w:sz w:val="18"/>
          <w:szCs w:val="18"/>
        </w:rPr>
        <w:t xml:space="preserve">a risposta chiusa. </w:t>
      </w:r>
      <w:r w:rsidR="00A147CC">
        <w:rPr>
          <w:rFonts w:ascii="Times New Roman" w:hAnsi="Times New Roman"/>
          <w:sz w:val="18"/>
          <w:szCs w:val="18"/>
        </w:rPr>
        <w:t>La prova relativa al</w:t>
      </w:r>
      <w:r w:rsidR="00495437">
        <w:rPr>
          <w:rFonts w:ascii="Times New Roman" w:hAnsi="Times New Roman"/>
          <w:sz w:val="18"/>
          <w:szCs w:val="18"/>
        </w:rPr>
        <w:t xml:space="preserve"> modulo B</w:t>
      </w:r>
      <w:r w:rsidR="007E34E7" w:rsidRPr="00A34511">
        <w:rPr>
          <w:rFonts w:ascii="Times New Roman" w:hAnsi="Times New Roman"/>
          <w:sz w:val="18"/>
          <w:szCs w:val="18"/>
        </w:rPr>
        <w:t xml:space="preserve"> </w:t>
      </w:r>
      <w:r w:rsidRPr="00A34511">
        <w:rPr>
          <w:rFonts w:ascii="Times New Roman" w:hAnsi="Times New Roman"/>
          <w:bCs/>
          <w:sz w:val="18"/>
          <w:szCs w:val="18"/>
        </w:rPr>
        <w:t xml:space="preserve">consta di </w:t>
      </w:r>
      <w:r w:rsidR="00495437">
        <w:rPr>
          <w:rFonts w:ascii="Times New Roman" w:hAnsi="Times New Roman"/>
          <w:bCs/>
          <w:sz w:val="18"/>
          <w:szCs w:val="18"/>
        </w:rPr>
        <w:t xml:space="preserve">3 </w:t>
      </w:r>
      <w:r w:rsidRPr="00A34511">
        <w:rPr>
          <w:rFonts w:ascii="Times New Roman" w:hAnsi="Times New Roman"/>
          <w:bCs/>
          <w:sz w:val="18"/>
          <w:szCs w:val="18"/>
        </w:rPr>
        <w:t>esercizi</w:t>
      </w:r>
      <w:r w:rsidR="001C3806">
        <w:rPr>
          <w:rFonts w:ascii="Times New Roman" w:hAnsi="Times New Roman"/>
          <w:bCs/>
          <w:sz w:val="18"/>
          <w:szCs w:val="18"/>
        </w:rPr>
        <w:t xml:space="preserve"> e </w:t>
      </w:r>
      <w:r w:rsidR="00A147CC">
        <w:rPr>
          <w:rFonts w:ascii="Times New Roman" w:hAnsi="Times New Roman"/>
          <w:bCs/>
          <w:sz w:val="18"/>
          <w:szCs w:val="18"/>
        </w:rPr>
        <w:t>2</w:t>
      </w:r>
      <w:r w:rsidR="0091651A">
        <w:rPr>
          <w:rFonts w:ascii="Times New Roman" w:hAnsi="Times New Roman"/>
          <w:bCs/>
          <w:sz w:val="18"/>
          <w:szCs w:val="18"/>
        </w:rPr>
        <w:t xml:space="preserve"> </w:t>
      </w:r>
      <w:r w:rsidRPr="00A34511">
        <w:rPr>
          <w:rFonts w:ascii="Times New Roman" w:hAnsi="Times New Roman"/>
          <w:bCs/>
          <w:sz w:val="18"/>
          <w:szCs w:val="18"/>
        </w:rPr>
        <w:t>domande a risposta aperta</w:t>
      </w:r>
      <w:r w:rsidR="0021013E">
        <w:rPr>
          <w:rFonts w:ascii="Times New Roman" w:hAnsi="Times New Roman"/>
          <w:bCs/>
          <w:sz w:val="18"/>
          <w:szCs w:val="18"/>
        </w:rPr>
        <w:t xml:space="preserve">. Il superamento </w:t>
      </w:r>
      <w:r w:rsidR="0091651A">
        <w:rPr>
          <w:rFonts w:ascii="Times New Roman" w:hAnsi="Times New Roman"/>
          <w:bCs/>
          <w:sz w:val="18"/>
          <w:szCs w:val="18"/>
        </w:rPr>
        <w:t xml:space="preserve">di entrambe le </w:t>
      </w:r>
      <w:r w:rsidR="0021013E">
        <w:rPr>
          <w:rFonts w:ascii="Times New Roman" w:hAnsi="Times New Roman"/>
          <w:bCs/>
          <w:sz w:val="18"/>
          <w:szCs w:val="18"/>
        </w:rPr>
        <w:t>prov</w:t>
      </w:r>
      <w:r w:rsidR="0091651A">
        <w:rPr>
          <w:rFonts w:ascii="Times New Roman" w:hAnsi="Times New Roman"/>
          <w:bCs/>
          <w:sz w:val="18"/>
          <w:szCs w:val="18"/>
        </w:rPr>
        <w:t>e</w:t>
      </w:r>
      <w:r w:rsidR="0021013E">
        <w:rPr>
          <w:rFonts w:ascii="Times New Roman" w:hAnsi="Times New Roman"/>
          <w:bCs/>
          <w:sz w:val="18"/>
          <w:szCs w:val="18"/>
        </w:rPr>
        <w:t xml:space="preserve"> scritt</w:t>
      </w:r>
      <w:r w:rsidR="0091651A">
        <w:rPr>
          <w:rFonts w:ascii="Times New Roman" w:hAnsi="Times New Roman"/>
          <w:bCs/>
          <w:sz w:val="18"/>
          <w:szCs w:val="18"/>
        </w:rPr>
        <w:t>e</w:t>
      </w:r>
      <w:r w:rsidR="0021013E">
        <w:rPr>
          <w:rFonts w:ascii="Times New Roman" w:hAnsi="Times New Roman"/>
          <w:bCs/>
          <w:sz w:val="18"/>
          <w:szCs w:val="18"/>
        </w:rPr>
        <w:t xml:space="preserve"> è subordinato al raggiungimento di</w:t>
      </w:r>
      <w:r w:rsidRPr="00A34511">
        <w:rPr>
          <w:rFonts w:ascii="Times New Roman" w:hAnsi="Times New Roman"/>
          <w:bCs/>
          <w:sz w:val="18"/>
          <w:szCs w:val="18"/>
        </w:rPr>
        <w:t xml:space="preserve"> un punteggio minimo di 18/30 punti</w:t>
      </w:r>
      <w:r w:rsidR="00443F6E">
        <w:rPr>
          <w:rFonts w:ascii="Times New Roman" w:hAnsi="Times New Roman"/>
          <w:bCs/>
          <w:sz w:val="18"/>
          <w:szCs w:val="18"/>
        </w:rPr>
        <w:t xml:space="preserve"> in cui sarà valutato il livello di approfondimento, la proprietà di linguaggio</w:t>
      </w:r>
      <w:r w:rsidR="00332AED">
        <w:rPr>
          <w:rFonts w:ascii="Times New Roman" w:hAnsi="Times New Roman"/>
          <w:bCs/>
          <w:sz w:val="18"/>
          <w:szCs w:val="18"/>
        </w:rPr>
        <w:t xml:space="preserve">, la </w:t>
      </w:r>
      <w:r w:rsidR="00332AED" w:rsidRPr="00F51FD3">
        <w:rPr>
          <w:rFonts w:ascii="Times New Roman" w:hAnsi="Times New Roman"/>
          <w:bCs/>
          <w:sz w:val="18"/>
          <w:szCs w:val="18"/>
        </w:rPr>
        <w:t>capacità di ragiona</w:t>
      </w:r>
      <w:r w:rsidR="00332AED">
        <w:rPr>
          <w:rFonts w:ascii="Times New Roman" w:hAnsi="Times New Roman"/>
          <w:bCs/>
          <w:sz w:val="18"/>
          <w:szCs w:val="18"/>
        </w:rPr>
        <w:t xml:space="preserve">mento </w:t>
      </w:r>
      <w:r w:rsidR="00332AED" w:rsidRPr="00F51FD3">
        <w:rPr>
          <w:rFonts w:ascii="Times New Roman" w:hAnsi="Times New Roman"/>
          <w:bCs/>
          <w:sz w:val="18"/>
          <w:szCs w:val="18"/>
        </w:rPr>
        <w:t xml:space="preserve">e </w:t>
      </w:r>
      <w:r w:rsidR="00332AED">
        <w:rPr>
          <w:rFonts w:ascii="Times New Roman" w:hAnsi="Times New Roman"/>
          <w:bCs/>
          <w:sz w:val="18"/>
          <w:szCs w:val="18"/>
        </w:rPr>
        <w:t xml:space="preserve">le </w:t>
      </w:r>
      <w:r w:rsidR="00332AED" w:rsidRPr="00F51FD3">
        <w:rPr>
          <w:rFonts w:ascii="Times New Roman" w:hAnsi="Times New Roman"/>
          <w:bCs/>
          <w:sz w:val="18"/>
          <w:szCs w:val="18"/>
        </w:rPr>
        <w:t>abilità comunicative</w:t>
      </w:r>
      <w:r w:rsidR="0021013E">
        <w:rPr>
          <w:rFonts w:ascii="Times New Roman" w:hAnsi="Times New Roman"/>
          <w:bCs/>
          <w:sz w:val="18"/>
          <w:szCs w:val="18"/>
        </w:rPr>
        <w:t>;</w:t>
      </w:r>
      <w:r w:rsidRPr="00A34511">
        <w:rPr>
          <w:rFonts w:ascii="Times New Roman" w:hAnsi="Times New Roman"/>
          <w:bCs/>
          <w:sz w:val="18"/>
          <w:szCs w:val="18"/>
        </w:rPr>
        <w:t xml:space="preserve"> la durata </w:t>
      </w:r>
      <w:r w:rsidR="0021013E">
        <w:rPr>
          <w:rFonts w:ascii="Times New Roman" w:hAnsi="Times New Roman"/>
          <w:bCs/>
          <w:sz w:val="18"/>
          <w:szCs w:val="18"/>
        </w:rPr>
        <w:t>dell</w:t>
      </w:r>
      <w:r w:rsidR="0091651A">
        <w:rPr>
          <w:rFonts w:ascii="Times New Roman" w:hAnsi="Times New Roman"/>
          <w:bCs/>
          <w:sz w:val="18"/>
          <w:szCs w:val="18"/>
        </w:rPr>
        <w:t>e</w:t>
      </w:r>
      <w:r w:rsidR="0021013E">
        <w:rPr>
          <w:rFonts w:ascii="Times New Roman" w:hAnsi="Times New Roman"/>
          <w:bCs/>
          <w:sz w:val="18"/>
          <w:szCs w:val="18"/>
        </w:rPr>
        <w:t xml:space="preserve"> prov</w:t>
      </w:r>
      <w:r w:rsidR="0091651A">
        <w:rPr>
          <w:rFonts w:ascii="Times New Roman" w:hAnsi="Times New Roman"/>
          <w:bCs/>
          <w:sz w:val="18"/>
          <w:szCs w:val="18"/>
        </w:rPr>
        <w:t>e</w:t>
      </w:r>
      <w:r w:rsidR="0021013E">
        <w:rPr>
          <w:rFonts w:ascii="Times New Roman" w:hAnsi="Times New Roman"/>
          <w:bCs/>
          <w:sz w:val="18"/>
          <w:szCs w:val="18"/>
        </w:rPr>
        <w:t xml:space="preserve"> </w:t>
      </w:r>
      <w:r w:rsidRPr="00A34511">
        <w:rPr>
          <w:rFonts w:ascii="Times New Roman" w:hAnsi="Times New Roman"/>
          <w:bCs/>
          <w:sz w:val="18"/>
          <w:szCs w:val="18"/>
        </w:rPr>
        <w:t>è di 120 minuti</w:t>
      </w:r>
      <w:r w:rsidR="0091651A">
        <w:rPr>
          <w:rFonts w:ascii="Times New Roman" w:hAnsi="Times New Roman"/>
          <w:bCs/>
          <w:sz w:val="18"/>
          <w:szCs w:val="18"/>
        </w:rPr>
        <w:t xml:space="preserve"> ciascuna</w:t>
      </w:r>
      <w:r w:rsidRPr="00A34511">
        <w:rPr>
          <w:rFonts w:ascii="Times New Roman" w:hAnsi="Times New Roman"/>
          <w:sz w:val="18"/>
          <w:szCs w:val="18"/>
        </w:rPr>
        <w:t xml:space="preserve">. </w:t>
      </w:r>
      <w:r w:rsidR="00B12B35" w:rsidRPr="00A34511">
        <w:rPr>
          <w:rFonts w:ascii="Times New Roman" w:hAnsi="Times New Roman"/>
          <w:sz w:val="18"/>
          <w:szCs w:val="18"/>
        </w:rPr>
        <w:t>Il mancato svolgimento o superamento dell</w:t>
      </w:r>
      <w:r w:rsidR="0091651A">
        <w:rPr>
          <w:rFonts w:ascii="Times New Roman" w:hAnsi="Times New Roman"/>
          <w:sz w:val="18"/>
          <w:szCs w:val="18"/>
        </w:rPr>
        <w:t>e</w:t>
      </w:r>
      <w:r w:rsidR="00B12B35" w:rsidRPr="00A34511">
        <w:rPr>
          <w:rFonts w:ascii="Times New Roman" w:hAnsi="Times New Roman"/>
          <w:sz w:val="18"/>
          <w:szCs w:val="18"/>
        </w:rPr>
        <w:t xml:space="preserve"> prov</w:t>
      </w:r>
      <w:r w:rsidR="0091651A">
        <w:rPr>
          <w:rFonts w:ascii="Times New Roman" w:hAnsi="Times New Roman"/>
          <w:sz w:val="18"/>
          <w:szCs w:val="18"/>
        </w:rPr>
        <w:t>e</w:t>
      </w:r>
      <w:r w:rsidR="00B12B35" w:rsidRPr="00A34511">
        <w:rPr>
          <w:rFonts w:ascii="Times New Roman" w:hAnsi="Times New Roman"/>
          <w:sz w:val="18"/>
          <w:szCs w:val="18"/>
        </w:rPr>
        <w:t xml:space="preserve"> scritt</w:t>
      </w:r>
      <w:r w:rsidR="0091651A">
        <w:rPr>
          <w:rFonts w:ascii="Times New Roman" w:hAnsi="Times New Roman"/>
          <w:sz w:val="18"/>
          <w:szCs w:val="18"/>
        </w:rPr>
        <w:t>e</w:t>
      </w:r>
      <w:r w:rsidR="00B12B35" w:rsidRPr="00A34511">
        <w:rPr>
          <w:rFonts w:ascii="Times New Roman" w:hAnsi="Times New Roman"/>
          <w:sz w:val="18"/>
          <w:szCs w:val="18"/>
        </w:rPr>
        <w:t xml:space="preserve"> determina lo svolgimento dell’intero esame in forma orale.</w:t>
      </w:r>
    </w:p>
    <w:p w14:paraId="7187BDA6" w14:textId="77777777" w:rsidR="00701DA1" w:rsidRPr="00A34511" w:rsidRDefault="00701DA1" w:rsidP="00A34511">
      <w:pPr>
        <w:pStyle w:val="Testo2"/>
        <w:ind w:firstLine="0"/>
        <w:rPr>
          <w:noProof w:val="0"/>
        </w:rPr>
      </w:pPr>
    </w:p>
    <w:p w14:paraId="7F838BD4" w14:textId="77777777" w:rsidR="00701DA1" w:rsidRDefault="00EE7B81" w:rsidP="00A34511">
      <w:pPr>
        <w:pStyle w:val="Testo2"/>
        <w:ind w:firstLine="0"/>
      </w:pPr>
      <w:r>
        <w:t>AVVERTENZE E PREREQUISITI.</w:t>
      </w:r>
    </w:p>
    <w:p w14:paraId="74982E09" w14:textId="091F0CFA" w:rsidR="00EE7B81" w:rsidRDefault="00EE7B81" w:rsidP="00D510BB">
      <w:pPr>
        <w:pStyle w:val="Testo2"/>
      </w:pPr>
      <w:r>
        <w:t xml:space="preserve">Avendo carattere introduttivo, l’insegnamento non necessita </w:t>
      </w:r>
      <w:r w:rsidR="0098271F">
        <w:t xml:space="preserve">in generale </w:t>
      </w:r>
      <w:r>
        <w:t xml:space="preserve">di prerequisiti relativi ai contenuti. </w:t>
      </w:r>
      <w:r w:rsidR="0098271F">
        <w:t xml:space="preserve">Tuttavia, </w:t>
      </w:r>
      <w:r w:rsidR="00B97C73">
        <w:t>il possesso di</w:t>
      </w:r>
      <w:r>
        <w:t xml:space="preserve"> cono</w:t>
      </w:r>
      <w:r w:rsidR="0098271F">
        <w:t>scenze di base di statistica relative a probabilità, test statistici, distribuzioni, parametri delle distruzioni e analisi di varianza</w:t>
      </w:r>
      <w:r w:rsidR="00B97C73">
        <w:t>,</w:t>
      </w:r>
      <w:r w:rsidR="0098271F">
        <w:t xml:space="preserve"> favoriranno una migliore preparazione.</w:t>
      </w:r>
    </w:p>
    <w:p w14:paraId="07418BFF" w14:textId="77777777" w:rsidR="008C1AA2" w:rsidRDefault="008C1AA2" w:rsidP="00D510BB">
      <w:pPr>
        <w:pStyle w:val="Testo2"/>
      </w:pPr>
      <w:bookmarkStart w:id="0" w:name="_GoBack"/>
      <w:bookmarkEnd w:id="0"/>
    </w:p>
    <w:p w14:paraId="0D2B1060" w14:textId="77777777" w:rsidR="0098271F" w:rsidRDefault="0098271F" w:rsidP="00A34511">
      <w:pPr>
        <w:pStyle w:val="Testo2"/>
        <w:ind w:firstLine="0"/>
      </w:pPr>
    </w:p>
    <w:p w14:paraId="481FE527" w14:textId="77777777" w:rsidR="00C41858" w:rsidRPr="00A34511" w:rsidRDefault="00C41858" w:rsidP="00A34511">
      <w:pPr>
        <w:pStyle w:val="Testo2"/>
        <w:ind w:firstLine="0"/>
      </w:pPr>
      <w:r>
        <w:t>ORARIO E LUOGO DI RICEVIMENTO DEGLI STUDENTI.</w:t>
      </w:r>
    </w:p>
    <w:p w14:paraId="0AA6DE71" w14:textId="3A646A22" w:rsidR="00E51E67" w:rsidRPr="00E51E67" w:rsidRDefault="00C406D9" w:rsidP="00443F6E">
      <w:pPr>
        <w:pStyle w:val="Testo2"/>
      </w:pPr>
      <w:r w:rsidRPr="00A34511">
        <w:t>I Prof</w:t>
      </w:r>
      <w:r w:rsidR="00CB43A0">
        <w:t>f</w:t>
      </w:r>
      <w:r w:rsidRPr="00A34511">
        <w:t>. Adriano Marocco</w:t>
      </w:r>
      <w:r w:rsidR="00E51E67" w:rsidRPr="00A34511">
        <w:t xml:space="preserve"> </w:t>
      </w:r>
      <w:r w:rsidR="00495437">
        <w:t xml:space="preserve">e Alessandra Lanubile </w:t>
      </w:r>
      <w:r w:rsidR="00E51E67" w:rsidRPr="00A34511">
        <w:t>r</w:t>
      </w:r>
      <w:r w:rsidR="00D40169" w:rsidRPr="00A34511">
        <w:t>icev</w:t>
      </w:r>
      <w:r w:rsidR="00495437">
        <w:t>ono</w:t>
      </w:r>
      <w:r w:rsidR="00D40169" w:rsidRPr="00A34511">
        <w:t xml:space="preserve"> gli studenti dopo le lezioni</w:t>
      </w:r>
      <w:r w:rsidRPr="00A34511">
        <w:t xml:space="preserve"> presso </w:t>
      </w:r>
      <w:r w:rsidR="00490FE2" w:rsidRPr="00A34511">
        <w:t>il Dipartimento di Scienze delle Produzioni vegetali Sostenibili – Area Agronomia e Biotecnologie vegetali.</w:t>
      </w:r>
    </w:p>
    <w:sectPr w:rsidR="00E51E67" w:rsidRPr="00E51E6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7199"/>
    <w:multiLevelType w:val="hybridMultilevel"/>
    <w:tmpl w:val="33EEACBC"/>
    <w:lvl w:ilvl="0" w:tplc="F6B04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D1"/>
    <w:rsid w:val="00006FDE"/>
    <w:rsid w:val="00047257"/>
    <w:rsid w:val="000B3F40"/>
    <w:rsid w:val="000C524A"/>
    <w:rsid w:val="000E05AE"/>
    <w:rsid w:val="00110903"/>
    <w:rsid w:val="0016517F"/>
    <w:rsid w:val="00191CA6"/>
    <w:rsid w:val="001C3806"/>
    <w:rsid w:val="001F67E9"/>
    <w:rsid w:val="002041C4"/>
    <w:rsid w:val="0021013E"/>
    <w:rsid w:val="00257D62"/>
    <w:rsid w:val="002702E5"/>
    <w:rsid w:val="00297972"/>
    <w:rsid w:val="002B1FFE"/>
    <w:rsid w:val="002D276E"/>
    <w:rsid w:val="002F7129"/>
    <w:rsid w:val="00312F31"/>
    <w:rsid w:val="00332AED"/>
    <w:rsid w:val="00397E8F"/>
    <w:rsid w:val="003C1F06"/>
    <w:rsid w:val="00430A27"/>
    <w:rsid w:val="0043791F"/>
    <w:rsid w:val="00443F6E"/>
    <w:rsid w:val="004718F1"/>
    <w:rsid w:val="00474626"/>
    <w:rsid w:val="004747D5"/>
    <w:rsid w:val="00490FE2"/>
    <w:rsid w:val="00495437"/>
    <w:rsid w:val="00544D65"/>
    <w:rsid w:val="00596BAB"/>
    <w:rsid w:val="005B48F1"/>
    <w:rsid w:val="005B5C39"/>
    <w:rsid w:val="005B7AD3"/>
    <w:rsid w:val="005D0264"/>
    <w:rsid w:val="00606970"/>
    <w:rsid w:val="006724CA"/>
    <w:rsid w:val="006E52C6"/>
    <w:rsid w:val="00701DA1"/>
    <w:rsid w:val="00703D12"/>
    <w:rsid w:val="00736141"/>
    <w:rsid w:val="007561AE"/>
    <w:rsid w:val="007E34E7"/>
    <w:rsid w:val="007F1837"/>
    <w:rsid w:val="00886A08"/>
    <w:rsid w:val="0089731B"/>
    <w:rsid w:val="008B1178"/>
    <w:rsid w:val="008C1AA2"/>
    <w:rsid w:val="008E6D7D"/>
    <w:rsid w:val="0091651A"/>
    <w:rsid w:val="0093432D"/>
    <w:rsid w:val="00953C15"/>
    <w:rsid w:val="00954262"/>
    <w:rsid w:val="009824FC"/>
    <w:rsid w:val="0098271F"/>
    <w:rsid w:val="009973EA"/>
    <w:rsid w:val="00A147CC"/>
    <w:rsid w:val="00A26A31"/>
    <w:rsid w:val="00A34511"/>
    <w:rsid w:val="00A36894"/>
    <w:rsid w:val="00A82F08"/>
    <w:rsid w:val="00AA23A2"/>
    <w:rsid w:val="00AE0EF1"/>
    <w:rsid w:val="00B12B35"/>
    <w:rsid w:val="00B44400"/>
    <w:rsid w:val="00B46B2D"/>
    <w:rsid w:val="00B97C73"/>
    <w:rsid w:val="00BC2797"/>
    <w:rsid w:val="00C406D9"/>
    <w:rsid w:val="00C41858"/>
    <w:rsid w:val="00CB1081"/>
    <w:rsid w:val="00CB43A0"/>
    <w:rsid w:val="00CF304D"/>
    <w:rsid w:val="00D40169"/>
    <w:rsid w:val="00D510BB"/>
    <w:rsid w:val="00D71C52"/>
    <w:rsid w:val="00D9125D"/>
    <w:rsid w:val="00DB4A73"/>
    <w:rsid w:val="00DC54A1"/>
    <w:rsid w:val="00DC6176"/>
    <w:rsid w:val="00DC7870"/>
    <w:rsid w:val="00DF037F"/>
    <w:rsid w:val="00E51E67"/>
    <w:rsid w:val="00E86B20"/>
    <w:rsid w:val="00EC2B37"/>
    <w:rsid w:val="00EE6566"/>
    <w:rsid w:val="00EE7B81"/>
    <w:rsid w:val="00EF58D2"/>
    <w:rsid w:val="00F02D8D"/>
    <w:rsid w:val="00F45C59"/>
    <w:rsid w:val="00F528D6"/>
    <w:rsid w:val="00F55FAA"/>
    <w:rsid w:val="00F91E68"/>
    <w:rsid w:val="00FC0817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C081E"/>
  <w15:docId w15:val="{B4BBE761-4CE7-4F59-B3E5-50A2F995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1F67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67E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e"/>
    <w:uiPriority w:val="99"/>
    <w:rsid w:val="0093432D"/>
    <w:pPr>
      <w:tabs>
        <w:tab w:val="clear" w:pos="284"/>
      </w:tabs>
      <w:autoSpaceDE w:val="0"/>
      <w:autoSpaceDN w:val="0"/>
      <w:spacing w:line="240" w:lineRule="auto"/>
      <w:jc w:val="left"/>
    </w:pPr>
    <w:rPr>
      <w:rFonts w:ascii="Verdana" w:eastAsiaTheme="minorHAnsi" w:hAnsi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2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Barbieri Elisa</cp:lastModifiedBy>
  <cp:revision>4</cp:revision>
  <cp:lastPrinted>2011-07-20T09:45:00Z</cp:lastPrinted>
  <dcterms:created xsi:type="dcterms:W3CDTF">2023-05-11T13:12:00Z</dcterms:created>
  <dcterms:modified xsi:type="dcterms:W3CDTF">2023-06-07T13:55:00Z</dcterms:modified>
</cp:coreProperties>
</file>