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F25C" w14:textId="4BE5874E" w:rsidR="00CA7B8B" w:rsidRPr="000B7EA4" w:rsidRDefault="00CA7B8B" w:rsidP="00CA7B8B">
      <w:pPr>
        <w:pStyle w:val="Titolo1"/>
        <w:rPr>
          <w:color w:val="000000" w:themeColor="text1"/>
          <w:lang w:val="en-AU"/>
        </w:rPr>
      </w:pPr>
      <w:r w:rsidRPr="000B7EA4">
        <w:rPr>
          <w:color w:val="000000" w:themeColor="text1"/>
          <w:lang w:val="en-AU"/>
        </w:rPr>
        <w:t xml:space="preserve">.- </w:t>
      </w:r>
      <w:r w:rsidR="000B7EA4" w:rsidRPr="000B7EA4">
        <w:rPr>
          <w:color w:val="000000" w:themeColor="text1"/>
          <w:lang w:val="en-AU"/>
        </w:rPr>
        <w:t xml:space="preserve">Vineyard Variability: Traditional </w:t>
      </w:r>
      <w:r w:rsidR="000B7EA4">
        <w:rPr>
          <w:color w:val="000000" w:themeColor="text1"/>
          <w:lang w:val="en-AU"/>
        </w:rPr>
        <w:t>a</w:t>
      </w:r>
      <w:r w:rsidR="000B7EA4" w:rsidRPr="000B7EA4">
        <w:rPr>
          <w:color w:val="000000" w:themeColor="text1"/>
          <w:lang w:val="en-AU"/>
        </w:rPr>
        <w:t>nd Precision Approaches</w:t>
      </w:r>
    </w:p>
    <w:p w14:paraId="14FA70CB" w14:textId="5FCB6F85" w:rsidR="003B7D9E" w:rsidRPr="000B7EA4" w:rsidRDefault="0007438B" w:rsidP="003B7D9E">
      <w:pPr>
        <w:pStyle w:val="Titolo2"/>
        <w:rPr>
          <w:color w:val="000000" w:themeColor="text1"/>
          <w:lang w:val="en-AU"/>
        </w:rPr>
      </w:pPr>
      <w:r w:rsidRPr="000B7EA4">
        <w:rPr>
          <w:color w:val="000000" w:themeColor="text1"/>
          <w:lang w:val="en-AU"/>
        </w:rPr>
        <w:t>Prof</w:t>
      </w:r>
      <w:r w:rsidR="00064630" w:rsidRPr="000B7EA4">
        <w:rPr>
          <w:color w:val="000000" w:themeColor="text1"/>
          <w:lang w:val="en-AU"/>
        </w:rPr>
        <w:t>f</w:t>
      </w:r>
      <w:r w:rsidRPr="000B7EA4">
        <w:rPr>
          <w:color w:val="000000" w:themeColor="text1"/>
          <w:lang w:val="en-AU"/>
        </w:rPr>
        <w:t xml:space="preserve">. </w:t>
      </w:r>
      <w:r w:rsidR="000B7EA4" w:rsidRPr="000B7EA4">
        <w:rPr>
          <w:color w:val="000000" w:themeColor="text1"/>
          <w:lang w:val="en-AU"/>
        </w:rPr>
        <w:t>M</w:t>
      </w:r>
      <w:r w:rsidR="000B7EA4">
        <w:rPr>
          <w:color w:val="000000" w:themeColor="text1"/>
          <w:lang w:val="en-AU"/>
        </w:rPr>
        <w:t>atteo Gatti</w:t>
      </w:r>
    </w:p>
    <w:p w14:paraId="2A6048DC" w14:textId="77777777" w:rsidR="005C68B6" w:rsidRPr="006D2379" w:rsidRDefault="005C68B6" w:rsidP="005C68B6">
      <w:pPr>
        <w:spacing w:before="240" w:after="120"/>
        <w:rPr>
          <w:b/>
          <w:i/>
          <w:color w:val="000000" w:themeColor="text1"/>
          <w:sz w:val="18"/>
          <w:lang w:val="en-NZ"/>
        </w:rPr>
      </w:pPr>
      <w:r w:rsidRPr="006D2379">
        <w:rPr>
          <w:b/>
          <w:i/>
          <w:color w:val="000000" w:themeColor="text1"/>
          <w:sz w:val="18"/>
          <w:lang w:val="en-NZ"/>
        </w:rPr>
        <w:t>COURSE AIMS</w:t>
      </w:r>
      <w:r w:rsidR="0079693D" w:rsidRPr="006D2379">
        <w:rPr>
          <w:b/>
          <w:i/>
          <w:color w:val="000000" w:themeColor="text1"/>
          <w:sz w:val="18"/>
          <w:lang w:val="en-NZ"/>
        </w:rPr>
        <w:t xml:space="preserve"> AND </w:t>
      </w:r>
      <w:r w:rsidR="008F6A6F" w:rsidRPr="006D2379">
        <w:rPr>
          <w:b/>
          <w:i/>
          <w:color w:val="000000" w:themeColor="text1"/>
          <w:sz w:val="18"/>
          <w:lang w:val="en-NZ"/>
        </w:rPr>
        <w:t xml:space="preserve">INTENDED </w:t>
      </w:r>
      <w:r w:rsidR="0079693D" w:rsidRPr="006D2379">
        <w:rPr>
          <w:b/>
          <w:i/>
          <w:color w:val="000000" w:themeColor="text1"/>
          <w:sz w:val="18"/>
          <w:lang w:val="en-NZ"/>
        </w:rPr>
        <w:t>LEARNING OUTCOMES</w:t>
      </w:r>
    </w:p>
    <w:p w14:paraId="4AD7E72E" w14:textId="77777777" w:rsidR="005C68B6" w:rsidRPr="006D2379" w:rsidRDefault="005C68B6" w:rsidP="005C68B6">
      <w:pPr>
        <w:rPr>
          <w:color w:val="000000" w:themeColor="text1"/>
          <w:lang w:val="en-NZ"/>
        </w:rPr>
      </w:pPr>
      <w:r w:rsidRPr="006D2379">
        <w:rPr>
          <w:color w:val="000000" w:themeColor="text1"/>
          <w:lang w:val="en-NZ"/>
        </w:rPr>
        <w:tab/>
      </w:r>
    </w:p>
    <w:p w14:paraId="60130918" w14:textId="7B55E7B1" w:rsidR="005C68B6" w:rsidRPr="006D2379" w:rsidRDefault="00882972" w:rsidP="003C2988">
      <w:pPr>
        <w:rPr>
          <w:rFonts w:ascii="Times New Roman" w:hAnsi="Times New Roman"/>
          <w:color w:val="000000" w:themeColor="text1"/>
          <w:lang w:val="en-NZ"/>
        </w:rPr>
      </w:pPr>
      <w:r w:rsidRPr="006D2379">
        <w:rPr>
          <w:rStyle w:val="alt-edited1"/>
          <w:rFonts w:ascii="Times New Roman" w:hAnsi="Times New Roman"/>
          <w:color w:val="000000" w:themeColor="text1"/>
          <w:lang w:val="en-NZ"/>
        </w:rPr>
        <w:t>Students will acquire fundamental knowledge as it concerns</w:t>
      </w:r>
      <w:r w:rsidR="005C68B6" w:rsidRPr="006D2379">
        <w:rPr>
          <w:rFonts w:ascii="Times New Roman" w:hAnsi="Times New Roman"/>
          <w:color w:val="000000" w:themeColor="text1"/>
          <w:lang w:val="en-NZ"/>
        </w:rPr>
        <w:t xml:space="preserve"> </w:t>
      </w:r>
      <w:r w:rsidR="00142618">
        <w:rPr>
          <w:rFonts w:ascii="Times New Roman" w:hAnsi="Times New Roman"/>
          <w:color w:val="000000" w:themeColor="text1"/>
          <w:lang w:val="en-NZ"/>
        </w:rPr>
        <w:t xml:space="preserve">vineyard variability </w:t>
      </w:r>
      <w:r w:rsidR="003C2988">
        <w:rPr>
          <w:rFonts w:ascii="Times New Roman" w:hAnsi="Times New Roman"/>
          <w:color w:val="000000" w:themeColor="text1"/>
          <w:lang w:val="en-NZ"/>
        </w:rPr>
        <w:t xml:space="preserve">depending on </w:t>
      </w:r>
      <w:r w:rsidR="00142618">
        <w:rPr>
          <w:rFonts w:ascii="Times New Roman" w:hAnsi="Times New Roman"/>
          <w:color w:val="000000" w:themeColor="text1"/>
          <w:lang w:val="en-NZ"/>
        </w:rPr>
        <w:t>plant material, environmental factors</w:t>
      </w:r>
      <w:r w:rsidR="00B3520E">
        <w:rPr>
          <w:rFonts w:ascii="Times New Roman" w:hAnsi="Times New Roman"/>
          <w:color w:val="000000" w:themeColor="text1"/>
          <w:lang w:val="en-NZ"/>
        </w:rPr>
        <w:t>,</w:t>
      </w:r>
      <w:r w:rsidR="00142618">
        <w:rPr>
          <w:rFonts w:ascii="Times New Roman" w:hAnsi="Times New Roman"/>
          <w:color w:val="000000" w:themeColor="text1"/>
          <w:lang w:val="en-NZ"/>
        </w:rPr>
        <w:t xml:space="preserve"> and </w:t>
      </w:r>
      <w:r w:rsidR="003C2988">
        <w:rPr>
          <w:rFonts w:ascii="Times New Roman" w:hAnsi="Times New Roman"/>
          <w:color w:val="000000" w:themeColor="text1"/>
          <w:lang w:val="en-NZ"/>
        </w:rPr>
        <w:t>human activities</w:t>
      </w:r>
      <w:r w:rsidR="005C68B6" w:rsidRPr="006D2379">
        <w:rPr>
          <w:rFonts w:ascii="Times New Roman" w:hAnsi="Times New Roman"/>
          <w:color w:val="000000" w:themeColor="text1"/>
          <w:lang w:val="en-NZ"/>
        </w:rPr>
        <w:t>.</w:t>
      </w:r>
      <w:r w:rsidR="003C2988" w:rsidRPr="003C2988">
        <w:rPr>
          <w:lang w:val="en-AU"/>
        </w:rPr>
        <w:t xml:space="preserve"> </w:t>
      </w:r>
      <w:r w:rsidR="003C2988">
        <w:rPr>
          <w:rFonts w:ascii="Times New Roman" w:hAnsi="Times New Roman"/>
          <w:color w:val="000000" w:themeColor="text1"/>
          <w:lang w:val="en-NZ"/>
        </w:rPr>
        <w:t xml:space="preserve">In parallel, </w:t>
      </w:r>
      <w:r w:rsidR="00B3520E">
        <w:rPr>
          <w:rFonts w:ascii="Times New Roman" w:hAnsi="Times New Roman"/>
          <w:color w:val="000000" w:themeColor="text1"/>
          <w:lang w:val="en-NZ"/>
        </w:rPr>
        <w:t xml:space="preserve">different </w:t>
      </w:r>
      <w:r w:rsidR="003C2988">
        <w:rPr>
          <w:rFonts w:ascii="Times New Roman" w:hAnsi="Times New Roman"/>
          <w:color w:val="000000" w:themeColor="text1"/>
          <w:lang w:val="en-NZ"/>
        </w:rPr>
        <w:t>s</w:t>
      </w:r>
      <w:r w:rsidR="003C2988" w:rsidRPr="003C2988">
        <w:rPr>
          <w:rFonts w:ascii="Times New Roman" w:hAnsi="Times New Roman"/>
          <w:color w:val="000000" w:themeColor="text1"/>
          <w:lang w:val="en-NZ"/>
        </w:rPr>
        <w:t xml:space="preserve">cales of variability </w:t>
      </w:r>
      <w:r w:rsidR="003C2988">
        <w:rPr>
          <w:rFonts w:ascii="Times New Roman" w:hAnsi="Times New Roman"/>
          <w:color w:val="000000" w:themeColor="text1"/>
          <w:lang w:val="en-NZ"/>
        </w:rPr>
        <w:t>will be described</w:t>
      </w:r>
      <w:r w:rsidR="003C2988" w:rsidRPr="003C2988">
        <w:rPr>
          <w:rFonts w:ascii="Times New Roman" w:hAnsi="Times New Roman"/>
          <w:color w:val="000000" w:themeColor="text1"/>
          <w:lang w:val="en-NZ"/>
        </w:rPr>
        <w:t>.</w:t>
      </w:r>
      <w:r w:rsidR="003C2988">
        <w:rPr>
          <w:rFonts w:ascii="Times New Roman" w:hAnsi="Times New Roman"/>
          <w:color w:val="000000" w:themeColor="text1"/>
          <w:lang w:val="en-NZ"/>
        </w:rPr>
        <w:t xml:space="preserve"> T</w:t>
      </w:r>
      <w:r w:rsidR="005C68B6" w:rsidRPr="006D2379">
        <w:rPr>
          <w:rFonts w:ascii="Times New Roman" w:hAnsi="Times New Roman"/>
          <w:color w:val="000000" w:themeColor="text1"/>
          <w:lang w:val="en-NZ"/>
        </w:rPr>
        <w:t>he main techniques of integrated management systems</w:t>
      </w:r>
      <w:r w:rsidR="003C2988">
        <w:rPr>
          <w:rFonts w:ascii="Times New Roman" w:hAnsi="Times New Roman"/>
          <w:color w:val="000000" w:themeColor="text1"/>
          <w:lang w:val="en-NZ"/>
        </w:rPr>
        <w:t>, vineyard zoning</w:t>
      </w:r>
      <w:r w:rsidR="005C68B6" w:rsidRPr="006D2379">
        <w:rPr>
          <w:rFonts w:ascii="Times New Roman" w:hAnsi="Times New Roman"/>
          <w:color w:val="000000" w:themeColor="text1"/>
          <w:lang w:val="en-NZ"/>
        </w:rPr>
        <w:t xml:space="preserve"> and precision technolog</w:t>
      </w:r>
      <w:r w:rsidRPr="006D2379">
        <w:rPr>
          <w:rFonts w:ascii="Times New Roman" w:hAnsi="Times New Roman"/>
          <w:color w:val="000000" w:themeColor="text1"/>
          <w:lang w:val="en-NZ"/>
        </w:rPr>
        <w:t>ies</w:t>
      </w:r>
      <w:r w:rsidR="005C68B6" w:rsidRPr="006D2379">
        <w:rPr>
          <w:rFonts w:ascii="Times New Roman" w:hAnsi="Times New Roman"/>
          <w:color w:val="000000" w:themeColor="text1"/>
          <w:lang w:val="en-NZ"/>
        </w:rPr>
        <w:t xml:space="preserve"> will be presented.</w:t>
      </w:r>
    </w:p>
    <w:p w14:paraId="5550C21F" w14:textId="5256105D" w:rsidR="0079693D" w:rsidRPr="006D2379" w:rsidRDefault="0079693D" w:rsidP="00541AD8">
      <w:pPr>
        <w:jc w:val="left"/>
        <w:rPr>
          <w:rFonts w:ascii="Times New Roman" w:hAnsi="Times New Roman"/>
          <w:color w:val="000000" w:themeColor="text1"/>
          <w:lang w:val="en-US"/>
        </w:rPr>
      </w:pPr>
      <w:r w:rsidRPr="006D2379">
        <w:rPr>
          <w:color w:val="000000" w:themeColor="text1"/>
          <w:lang w:val="en-US"/>
        </w:rPr>
        <w:t>Expected learning outcomes</w:t>
      </w:r>
      <w:r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: </w:t>
      </w:r>
      <w:r w:rsidR="00541AD8"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By the end of the course students will be able to: </w:t>
      </w:r>
      <w:proofErr w:type="spellStart"/>
      <w:r w:rsidR="00541AD8" w:rsidRPr="006D2379">
        <w:rPr>
          <w:rFonts w:ascii="Times New Roman" w:hAnsi="Times New Roman"/>
          <w:snapToGrid w:val="0"/>
          <w:color w:val="000000" w:themeColor="text1"/>
          <w:lang w:val="en-US"/>
        </w:rPr>
        <w:t>i</w:t>
      </w:r>
      <w:proofErr w:type="spellEnd"/>
      <w:r w:rsidR="00541AD8"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) identify the level of expression of different drivers of variability at the </w:t>
      </w:r>
      <w:r w:rsidR="003C2988">
        <w:rPr>
          <w:rFonts w:ascii="Times New Roman" w:hAnsi="Times New Roman"/>
          <w:snapToGrid w:val="0"/>
          <w:color w:val="000000" w:themeColor="text1"/>
          <w:lang w:val="en-US"/>
        </w:rPr>
        <w:t xml:space="preserve">between- and </w:t>
      </w:r>
      <w:r w:rsidR="00541AD8" w:rsidRPr="006D2379">
        <w:rPr>
          <w:rFonts w:ascii="Times New Roman" w:hAnsi="Times New Roman"/>
          <w:snapToGrid w:val="0"/>
          <w:color w:val="000000" w:themeColor="text1"/>
          <w:lang w:val="en-US"/>
        </w:rPr>
        <w:t>within-field scale; ii) know innovative methods for describing vineyard variability; iii)</w:t>
      </w:r>
      <w:r w:rsidR="003C2988">
        <w:rPr>
          <w:rFonts w:ascii="Times New Roman" w:hAnsi="Times New Roman"/>
          <w:snapToGrid w:val="0"/>
          <w:color w:val="000000" w:themeColor="text1"/>
          <w:lang w:val="en-US"/>
        </w:rPr>
        <w:t xml:space="preserve"> </w:t>
      </w:r>
      <w:r w:rsidR="00541AD8"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know the most recent technical solutions for managing </w:t>
      </w:r>
      <w:r w:rsidR="00B3520E">
        <w:rPr>
          <w:rFonts w:ascii="Times New Roman" w:hAnsi="Times New Roman"/>
          <w:snapToGrid w:val="0"/>
          <w:color w:val="000000" w:themeColor="text1"/>
          <w:lang w:val="en-US"/>
        </w:rPr>
        <w:t>vineyards</w:t>
      </w:r>
      <w:r w:rsidR="00541AD8"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 under precision farming protocols</w:t>
      </w:r>
      <w:r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. </w:t>
      </w:r>
      <w:r w:rsidR="00541AD8"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Students will be able to </w:t>
      </w:r>
      <w:r w:rsidR="00B3520E">
        <w:rPr>
          <w:rFonts w:ascii="Times New Roman" w:hAnsi="Times New Roman"/>
          <w:snapToGrid w:val="0"/>
          <w:color w:val="000000" w:themeColor="text1"/>
          <w:lang w:val="en-US"/>
        </w:rPr>
        <w:t xml:space="preserve">identify optimal </w:t>
      </w:r>
      <w:proofErr w:type="spellStart"/>
      <w:r w:rsidR="00B3520E">
        <w:rPr>
          <w:rFonts w:ascii="Times New Roman" w:hAnsi="Times New Roman"/>
          <w:snapToGrid w:val="0"/>
          <w:color w:val="000000" w:themeColor="text1"/>
          <w:lang w:val="en-US"/>
        </w:rPr>
        <w:t>vigour</w:t>
      </w:r>
      <w:proofErr w:type="spellEnd"/>
      <w:r w:rsidR="00B3520E">
        <w:rPr>
          <w:rFonts w:ascii="Times New Roman" w:hAnsi="Times New Roman"/>
          <w:snapToGrid w:val="0"/>
          <w:color w:val="000000" w:themeColor="text1"/>
          <w:lang w:val="en-US"/>
        </w:rPr>
        <w:t xml:space="preserve"> depending on commercial target, </w:t>
      </w:r>
      <w:r w:rsidR="00541AD8"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perform ground-truthing of a </w:t>
      </w:r>
      <w:proofErr w:type="spellStart"/>
      <w:r w:rsidR="00541AD8" w:rsidRPr="006D2379">
        <w:rPr>
          <w:rFonts w:ascii="Times New Roman" w:hAnsi="Times New Roman"/>
          <w:snapToGrid w:val="0"/>
          <w:color w:val="000000" w:themeColor="text1"/>
          <w:lang w:val="en-US"/>
        </w:rPr>
        <w:t>vigour</w:t>
      </w:r>
      <w:proofErr w:type="spellEnd"/>
      <w:r w:rsidR="00541AD8"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 map as well as to assess the opportunity to </w:t>
      </w:r>
      <w:r w:rsidR="006B1E98" w:rsidRPr="006D2379">
        <w:rPr>
          <w:rFonts w:ascii="Times New Roman" w:hAnsi="Times New Roman"/>
          <w:snapToGrid w:val="0"/>
          <w:color w:val="000000" w:themeColor="text1"/>
          <w:lang w:val="en-US"/>
        </w:rPr>
        <w:t>introduce</w:t>
      </w:r>
      <w:r w:rsidR="00541AD8"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 variable rate technologies in </w:t>
      </w:r>
      <w:r w:rsidR="00B3520E">
        <w:rPr>
          <w:rFonts w:ascii="Times New Roman" w:hAnsi="Times New Roman"/>
          <w:snapToGrid w:val="0"/>
          <w:color w:val="000000" w:themeColor="text1"/>
          <w:lang w:val="en-US"/>
        </w:rPr>
        <w:t>vineyard</w:t>
      </w:r>
      <w:r w:rsidR="006B1E98"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 management</w:t>
      </w:r>
      <w:r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. </w:t>
      </w:r>
      <w:r w:rsidR="006B1E98"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Based on </w:t>
      </w:r>
      <w:r w:rsidR="00B3520E">
        <w:rPr>
          <w:rFonts w:ascii="Times New Roman" w:hAnsi="Times New Roman"/>
          <w:snapToGrid w:val="0"/>
          <w:color w:val="000000" w:themeColor="text1"/>
          <w:lang w:val="en-US"/>
        </w:rPr>
        <w:t>their background</w:t>
      </w:r>
      <w:r w:rsidR="006B1E98"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 on agronomy and </w:t>
      </w:r>
      <w:r w:rsidR="00B3520E">
        <w:rPr>
          <w:rFonts w:ascii="Times New Roman" w:hAnsi="Times New Roman"/>
          <w:snapToGrid w:val="0"/>
          <w:color w:val="000000" w:themeColor="text1"/>
          <w:lang w:val="en-US"/>
        </w:rPr>
        <w:t>viticulture</w:t>
      </w:r>
      <w:r w:rsidR="006B1E98"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, students will acquire essential skills to perform site-specific management by setting set up prescription maps for variable rate applications </w:t>
      </w:r>
      <w:r w:rsidRPr="006D2379">
        <w:rPr>
          <w:rFonts w:ascii="Times New Roman" w:hAnsi="Times New Roman"/>
          <w:snapToGrid w:val="0"/>
          <w:color w:val="000000" w:themeColor="text1"/>
          <w:lang w:val="en-US"/>
        </w:rPr>
        <w:t>(</w:t>
      </w:r>
      <w:proofErr w:type="spellStart"/>
      <w:r w:rsidR="006B1E98" w:rsidRPr="006D2379">
        <w:rPr>
          <w:rFonts w:ascii="Times New Roman" w:hAnsi="Times New Roman"/>
          <w:snapToGrid w:val="0"/>
          <w:color w:val="000000" w:themeColor="text1"/>
          <w:lang w:val="en-US"/>
        </w:rPr>
        <w:t>ie</w:t>
      </w:r>
      <w:proofErr w:type="spellEnd"/>
      <w:r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. </w:t>
      </w:r>
      <w:r w:rsidR="006B1E98" w:rsidRPr="006D2379">
        <w:rPr>
          <w:rFonts w:ascii="Times New Roman" w:hAnsi="Times New Roman"/>
          <w:snapToGrid w:val="0"/>
          <w:color w:val="000000" w:themeColor="text1"/>
          <w:lang w:val="en-US"/>
        </w:rPr>
        <w:t>fertilization, irrigation, harvest</w:t>
      </w:r>
      <w:r w:rsidRPr="006D2379">
        <w:rPr>
          <w:rFonts w:ascii="Times New Roman" w:hAnsi="Times New Roman"/>
          <w:snapToGrid w:val="0"/>
          <w:color w:val="000000" w:themeColor="text1"/>
          <w:lang w:val="en-US"/>
        </w:rPr>
        <w:t>).</w:t>
      </w:r>
    </w:p>
    <w:p w14:paraId="16340864" w14:textId="77777777" w:rsidR="005C68B6" w:rsidRPr="006D2379" w:rsidRDefault="005C68B6" w:rsidP="005C68B6">
      <w:pPr>
        <w:tabs>
          <w:tab w:val="clear" w:pos="284"/>
        </w:tabs>
        <w:spacing w:line="240" w:lineRule="auto"/>
        <w:jc w:val="left"/>
        <w:rPr>
          <w:color w:val="000000" w:themeColor="text1"/>
          <w:lang w:val="en-US"/>
        </w:rPr>
      </w:pPr>
    </w:p>
    <w:p w14:paraId="653291BC" w14:textId="77777777" w:rsidR="005C68B6" w:rsidRPr="006D2379" w:rsidRDefault="005C68B6" w:rsidP="005C68B6">
      <w:pPr>
        <w:tabs>
          <w:tab w:val="clear" w:pos="284"/>
        </w:tabs>
        <w:spacing w:line="240" w:lineRule="auto"/>
        <w:jc w:val="left"/>
        <w:rPr>
          <w:b/>
          <w:i/>
          <w:color w:val="000000" w:themeColor="text1"/>
          <w:sz w:val="18"/>
          <w:lang w:val="en-NZ"/>
        </w:rPr>
      </w:pPr>
      <w:r w:rsidRPr="006D2379">
        <w:rPr>
          <w:b/>
          <w:i/>
          <w:color w:val="000000" w:themeColor="text1"/>
          <w:sz w:val="18"/>
          <w:lang w:val="en-NZ"/>
        </w:rPr>
        <w:t>COURSE CONTENT</w:t>
      </w:r>
    </w:p>
    <w:p w14:paraId="600DB5FB" w14:textId="77777777" w:rsidR="005C68B6" w:rsidRPr="006D2379" w:rsidRDefault="005C68B6" w:rsidP="005C68B6">
      <w:pPr>
        <w:rPr>
          <w:i/>
          <w:color w:val="000000" w:themeColor="text1"/>
          <w:lang w:val="en-NZ"/>
        </w:rPr>
      </w:pPr>
      <w:r w:rsidRPr="006D2379">
        <w:rPr>
          <w:i/>
          <w:color w:val="000000" w:themeColor="text1"/>
          <w:lang w:val="en-NZ"/>
        </w:rPr>
        <w:t>Lectures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4"/>
        <w:gridCol w:w="606"/>
      </w:tblGrid>
      <w:tr w:rsidR="006D2379" w:rsidRPr="006D2379" w14:paraId="3191FAFD" w14:textId="77777777" w:rsidTr="00CF38AC">
        <w:tc>
          <w:tcPr>
            <w:tcW w:w="6074" w:type="dxa"/>
          </w:tcPr>
          <w:p w14:paraId="090B527A" w14:textId="77777777" w:rsidR="005C68B6" w:rsidRPr="006D2379" w:rsidRDefault="005C68B6" w:rsidP="007F293D">
            <w:pPr>
              <w:rPr>
                <w:color w:val="000000" w:themeColor="text1"/>
                <w:lang w:val="en-NZ"/>
              </w:rPr>
            </w:pPr>
            <w:r w:rsidRPr="006D2379">
              <w:rPr>
                <w:color w:val="000000" w:themeColor="text1"/>
                <w:lang w:val="en-NZ"/>
              </w:rPr>
              <w:t>Topics</w:t>
            </w:r>
          </w:p>
        </w:tc>
        <w:tc>
          <w:tcPr>
            <w:tcW w:w="606" w:type="dxa"/>
          </w:tcPr>
          <w:p w14:paraId="1267C234" w14:textId="77777777" w:rsidR="005C68B6" w:rsidRPr="006D2379" w:rsidRDefault="005C68B6" w:rsidP="007F293D">
            <w:pPr>
              <w:rPr>
                <w:color w:val="000000" w:themeColor="text1"/>
                <w:lang w:val="en-NZ"/>
              </w:rPr>
            </w:pPr>
            <w:r w:rsidRPr="006D2379">
              <w:rPr>
                <w:color w:val="000000" w:themeColor="text1"/>
                <w:lang w:val="en-NZ"/>
              </w:rPr>
              <w:t>CFU</w:t>
            </w:r>
          </w:p>
        </w:tc>
      </w:tr>
      <w:tr w:rsidR="000B7EA4" w:rsidRPr="00CF38AC" w14:paraId="2EF70392" w14:textId="77777777" w:rsidTr="00CF38AC">
        <w:tc>
          <w:tcPr>
            <w:tcW w:w="6074" w:type="dxa"/>
          </w:tcPr>
          <w:p w14:paraId="7B593546" w14:textId="3F4AA61A" w:rsidR="000B7EA4" w:rsidRPr="006D2379" w:rsidRDefault="00CF38AC" w:rsidP="00F0145C">
            <w:pPr>
              <w:rPr>
                <w:color w:val="000000" w:themeColor="text1"/>
                <w:lang w:val="en-NZ"/>
              </w:rPr>
            </w:pPr>
            <w:r w:rsidRPr="00CF38AC">
              <w:rPr>
                <w:color w:val="000000" w:themeColor="text1"/>
                <w:lang w:val="en-NZ"/>
              </w:rPr>
              <w:t xml:space="preserve">Factors affecting vine growth, </w:t>
            </w:r>
            <w:proofErr w:type="gramStart"/>
            <w:r w:rsidRPr="00CF38AC">
              <w:rPr>
                <w:color w:val="000000" w:themeColor="text1"/>
                <w:lang w:val="en-NZ"/>
              </w:rPr>
              <w:t>yield</w:t>
            </w:r>
            <w:proofErr w:type="gramEnd"/>
            <w:r w:rsidRPr="00CF38AC">
              <w:rPr>
                <w:color w:val="000000" w:themeColor="text1"/>
                <w:lang w:val="en-NZ"/>
              </w:rPr>
              <w:t xml:space="preserve"> and fruit quality. </w:t>
            </w:r>
            <w:bookmarkStart w:id="0" w:name="_Hlk105842238"/>
            <w:r>
              <w:rPr>
                <w:color w:val="000000" w:themeColor="text1"/>
                <w:lang w:val="en-NZ"/>
              </w:rPr>
              <w:t>Scales of</w:t>
            </w:r>
            <w:r w:rsidRPr="00CF38AC">
              <w:rPr>
                <w:color w:val="000000" w:themeColor="text1"/>
                <w:lang w:val="en-NZ"/>
              </w:rPr>
              <w:t xml:space="preserve"> variability: regional, within-field, within-plant</w:t>
            </w:r>
            <w:r>
              <w:rPr>
                <w:color w:val="000000" w:themeColor="text1"/>
                <w:lang w:val="en-NZ"/>
              </w:rPr>
              <w:t xml:space="preserve">, </w:t>
            </w:r>
            <w:r w:rsidRPr="00CF38AC">
              <w:rPr>
                <w:color w:val="000000" w:themeColor="text1"/>
                <w:lang w:val="en-NZ"/>
              </w:rPr>
              <w:t>within-</w:t>
            </w:r>
            <w:r>
              <w:rPr>
                <w:color w:val="000000" w:themeColor="text1"/>
                <w:lang w:val="en-NZ"/>
              </w:rPr>
              <w:t>fruit</w:t>
            </w:r>
            <w:r w:rsidRPr="00CF38AC">
              <w:rPr>
                <w:color w:val="000000" w:themeColor="text1"/>
                <w:lang w:val="en-NZ"/>
              </w:rPr>
              <w:t>.</w:t>
            </w:r>
            <w:bookmarkEnd w:id="0"/>
            <w:r>
              <w:rPr>
                <w:color w:val="000000" w:themeColor="text1"/>
                <w:lang w:val="en-NZ"/>
              </w:rPr>
              <w:t xml:space="preserve"> </w:t>
            </w:r>
            <w:proofErr w:type="gramStart"/>
            <w:r w:rsidRPr="00CF38AC">
              <w:rPr>
                <w:color w:val="000000" w:themeColor="text1"/>
                <w:lang w:val="en-NZ"/>
              </w:rPr>
              <w:t>Origin</w:t>
            </w:r>
            <w:proofErr w:type="gramEnd"/>
            <w:r w:rsidRPr="00CF38AC">
              <w:rPr>
                <w:color w:val="000000" w:themeColor="text1"/>
                <w:lang w:val="en-NZ"/>
              </w:rPr>
              <w:t xml:space="preserve"> of vineyard variability and the concept of “terroir”. </w:t>
            </w:r>
          </w:p>
        </w:tc>
        <w:tc>
          <w:tcPr>
            <w:tcW w:w="606" w:type="dxa"/>
          </w:tcPr>
          <w:p w14:paraId="285DBBB6" w14:textId="53C2EB87" w:rsidR="000B7EA4" w:rsidRPr="006D2379" w:rsidRDefault="00CF38AC" w:rsidP="007F293D">
            <w:pPr>
              <w:rPr>
                <w:color w:val="000000" w:themeColor="text1"/>
                <w:lang w:val="en-NZ"/>
              </w:rPr>
            </w:pPr>
            <w:r>
              <w:rPr>
                <w:color w:val="000000" w:themeColor="text1"/>
                <w:lang w:val="en-NZ"/>
              </w:rPr>
              <w:t>1.</w:t>
            </w:r>
            <w:r w:rsidR="00D424FD">
              <w:rPr>
                <w:color w:val="000000" w:themeColor="text1"/>
                <w:lang w:val="en-NZ"/>
              </w:rPr>
              <w:t>5</w:t>
            </w:r>
          </w:p>
        </w:tc>
      </w:tr>
      <w:tr w:rsidR="00CF38AC" w:rsidRPr="00CF38AC" w14:paraId="3372424E" w14:textId="77777777" w:rsidTr="00CF38AC">
        <w:tc>
          <w:tcPr>
            <w:tcW w:w="6074" w:type="dxa"/>
          </w:tcPr>
          <w:p w14:paraId="51059862" w14:textId="665F35A3" w:rsidR="00CF38AC" w:rsidRPr="006D2379" w:rsidRDefault="00CF38AC" w:rsidP="00F0145C">
            <w:pPr>
              <w:rPr>
                <w:color w:val="000000" w:themeColor="text1"/>
                <w:lang w:val="en-NZ"/>
              </w:rPr>
            </w:pPr>
            <w:r w:rsidRPr="00CF38AC">
              <w:rPr>
                <w:color w:val="000000" w:themeColor="text1"/>
                <w:lang w:val="en-NZ"/>
              </w:rPr>
              <w:t>Traditional approaches to vineyard variability: site selection and zoning. Description of specific wine- growing districts in Old and New World viticulture countries.</w:t>
            </w:r>
          </w:p>
        </w:tc>
        <w:tc>
          <w:tcPr>
            <w:tcW w:w="606" w:type="dxa"/>
          </w:tcPr>
          <w:p w14:paraId="5EB3D153" w14:textId="45667257" w:rsidR="00CF38AC" w:rsidRPr="006D2379" w:rsidRDefault="00CF38AC" w:rsidP="007F293D">
            <w:pPr>
              <w:rPr>
                <w:color w:val="000000" w:themeColor="text1"/>
                <w:lang w:val="en-NZ"/>
              </w:rPr>
            </w:pPr>
            <w:r>
              <w:rPr>
                <w:color w:val="000000" w:themeColor="text1"/>
                <w:lang w:val="en-NZ"/>
              </w:rPr>
              <w:t>1.0</w:t>
            </w:r>
          </w:p>
        </w:tc>
      </w:tr>
      <w:tr w:rsidR="00CF38AC" w:rsidRPr="006D2379" w14:paraId="23134744" w14:textId="77777777" w:rsidTr="00CF38AC">
        <w:tc>
          <w:tcPr>
            <w:tcW w:w="6074" w:type="dxa"/>
          </w:tcPr>
          <w:p w14:paraId="59F86755" w14:textId="738E6028" w:rsidR="00CF38AC" w:rsidRPr="00CF38AC" w:rsidRDefault="00CF38AC" w:rsidP="00CF38AC">
            <w:pPr>
              <w:rPr>
                <w:color w:val="000000" w:themeColor="text1"/>
                <w:lang w:val="en-NZ"/>
              </w:rPr>
            </w:pPr>
            <w:r w:rsidRPr="00CF38AC">
              <w:rPr>
                <w:color w:val="000000" w:themeColor="text1"/>
                <w:lang w:val="en-NZ"/>
              </w:rPr>
              <w:t xml:space="preserve">Precision farming as a new approach to vineyard variability. Definition of precision viticulture. Drivers of vineyard </w:t>
            </w:r>
            <w:r w:rsidR="00D424FD">
              <w:rPr>
                <w:color w:val="000000" w:themeColor="text1"/>
                <w:lang w:val="en-NZ"/>
              </w:rPr>
              <w:t>variability</w:t>
            </w:r>
            <w:r w:rsidRPr="00CF38AC">
              <w:rPr>
                <w:color w:val="000000" w:themeColor="text1"/>
                <w:lang w:val="en-NZ"/>
              </w:rPr>
              <w:t xml:space="preserve">. Spatial </w:t>
            </w:r>
            <w:r w:rsidR="00D424FD">
              <w:rPr>
                <w:color w:val="000000" w:themeColor="text1"/>
                <w:lang w:val="en-NZ"/>
              </w:rPr>
              <w:t xml:space="preserve">and temporal </w:t>
            </w:r>
            <w:r w:rsidRPr="00CF38AC">
              <w:rPr>
                <w:color w:val="000000" w:themeColor="text1"/>
                <w:lang w:val="en-NZ"/>
              </w:rPr>
              <w:t xml:space="preserve">variation in vine </w:t>
            </w:r>
            <w:proofErr w:type="spellStart"/>
            <w:r w:rsidRPr="00CF38AC">
              <w:rPr>
                <w:color w:val="000000" w:themeColor="text1"/>
                <w:lang w:val="en-NZ"/>
              </w:rPr>
              <w:t>vigor</w:t>
            </w:r>
            <w:proofErr w:type="spellEnd"/>
            <w:r w:rsidRPr="00CF38AC">
              <w:rPr>
                <w:color w:val="000000" w:themeColor="text1"/>
                <w:lang w:val="en-NZ"/>
              </w:rPr>
              <w:t xml:space="preserve">, grape </w:t>
            </w:r>
            <w:proofErr w:type="gramStart"/>
            <w:r w:rsidRPr="00CF38AC">
              <w:rPr>
                <w:color w:val="000000" w:themeColor="text1"/>
                <w:lang w:val="en-NZ"/>
              </w:rPr>
              <w:t>yield</w:t>
            </w:r>
            <w:proofErr w:type="gramEnd"/>
            <w:r w:rsidRPr="00CF38AC">
              <w:rPr>
                <w:color w:val="000000" w:themeColor="text1"/>
                <w:lang w:val="en-NZ"/>
              </w:rPr>
              <w:t xml:space="preserve"> and fruit composition. </w:t>
            </w:r>
          </w:p>
        </w:tc>
        <w:tc>
          <w:tcPr>
            <w:tcW w:w="606" w:type="dxa"/>
          </w:tcPr>
          <w:p w14:paraId="29A110EE" w14:textId="7A001E09" w:rsidR="00CF38AC" w:rsidRPr="006D2379" w:rsidRDefault="00D424FD" w:rsidP="00CF38AC">
            <w:pPr>
              <w:rPr>
                <w:color w:val="000000" w:themeColor="text1"/>
                <w:lang w:val="en-NZ"/>
              </w:rPr>
            </w:pPr>
            <w:r>
              <w:rPr>
                <w:color w:val="000000" w:themeColor="text1"/>
                <w:lang w:val="en-NZ"/>
              </w:rPr>
              <w:t>0.5</w:t>
            </w:r>
          </w:p>
        </w:tc>
      </w:tr>
      <w:tr w:rsidR="00CF38AC" w:rsidRPr="006D2379" w14:paraId="68F97C88" w14:textId="77777777" w:rsidTr="00CF38AC">
        <w:tc>
          <w:tcPr>
            <w:tcW w:w="6074" w:type="dxa"/>
          </w:tcPr>
          <w:p w14:paraId="48569B4B" w14:textId="559A4D54" w:rsidR="00CF38AC" w:rsidRPr="006D2379" w:rsidRDefault="00D424FD" w:rsidP="00CF38AC">
            <w:pPr>
              <w:rPr>
                <w:color w:val="000000" w:themeColor="text1"/>
                <w:lang w:val="en-NZ"/>
              </w:rPr>
            </w:pPr>
            <w:r w:rsidRPr="00D424FD">
              <w:rPr>
                <w:color w:val="000000" w:themeColor="text1"/>
                <w:lang w:val="en-NZ"/>
              </w:rPr>
              <w:t xml:space="preserve">Monitoring variability. Remote sensing platforms and different resolutions. Proximal sensing tools for monitoring of soil, canopy, </w:t>
            </w:r>
            <w:proofErr w:type="gramStart"/>
            <w:r w:rsidRPr="00D424FD">
              <w:rPr>
                <w:color w:val="000000" w:themeColor="text1"/>
                <w:lang w:val="en-NZ"/>
              </w:rPr>
              <w:t>yield</w:t>
            </w:r>
            <w:proofErr w:type="gramEnd"/>
            <w:r w:rsidRPr="00D424FD">
              <w:rPr>
                <w:color w:val="000000" w:themeColor="text1"/>
                <w:lang w:val="en-NZ"/>
              </w:rPr>
              <w:t xml:space="preserve"> and fruit composition. Vegetation indices. </w:t>
            </w:r>
            <w:proofErr w:type="spellStart"/>
            <w:r w:rsidRPr="00D424FD">
              <w:rPr>
                <w:color w:val="000000" w:themeColor="text1"/>
                <w:lang w:val="en-NZ"/>
              </w:rPr>
              <w:t>Vigor</w:t>
            </w:r>
            <w:proofErr w:type="spellEnd"/>
            <w:r w:rsidRPr="00D424FD">
              <w:rPr>
                <w:color w:val="000000" w:themeColor="text1"/>
                <w:lang w:val="en-NZ"/>
              </w:rPr>
              <w:t xml:space="preserve"> maps and their ground- truthing.</w:t>
            </w:r>
            <w:r w:rsidR="00CF38AC" w:rsidRPr="006D2379">
              <w:rPr>
                <w:color w:val="000000" w:themeColor="text1"/>
                <w:lang w:val="en-NZ"/>
              </w:rPr>
              <w:t xml:space="preserve"> Sampling methods. Optimal vigour.</w:t>
            </w:r>
          </w:p>
        </w:tc>
        <w:tc>
          <w:tcPr>
            <w:tcW w:w="606" w:type="dxa"/>
          </w:tcPr>
          <w:p w14:paraId="3D906EDA" w14:textId="77777777" w:rsidR="00CF38AC" w:rsidRPr="006D2379" w:rsidRDefault="00CF38AC" w:rsidP="00CF38AC">
            <w:pPr>
              <w:rPr>
                <w:color w:val="000000" w:themeColor="text1"/>
                <w:lang w:val="en-NZ"/>
              </w:rPr>
            </w:pPr>
            <w:r w:rsidRPr="006D2379">
              <w:rPr>
                <w:color w:val="000000" w:themeColor="text1"/>
                <w:lang w:val="en-NZ"/>
              </w:rPr>
              <w:t>1.5</w:t>
            </w:r>
          </w:p>
        </w:tc>
      </w:tr>
      <w:tr w:rsidR="00CF38AC" w:rsidRPr="006D2379" w14:paraId="618CEED4" w14:textId="77777777" w:rsidTr="00CF38AC">
        <w:tc>
          <w:tcPr>
            <w:tcW w:w="6074" w:type="dxa"/>
          </w:tcPr>
          <w:p w14:paraId="462B575B" w14:textId="7C829046" w:rsidR="00CF38AC" w:rsidRPr="006D2379" w:rsidRDefault="00D424FD" w:rsidP="00CF38AC">
            <w:pPr>
              <w:rPr>
                <w:color w:val="000000" w:themeColor="text1"/>
                <w:lang w:val="en-NZ"/>
              </w:rPr>
            </w:pPr>
            <w:r w:rsidRPr="00D424FD">
              <w:rPr>
                <w:rFonts w:ascii="Times New Roman" w:hAnsi="Times New Roman"/>
                <w:color w:val="000000" w:themeColor="text1"/>
                <w:lang w:val="en-NZ"/>
              </w:rPr>
              <w:lastRenderedPageBreak/>
              <w:t xml:space="preserve">Prescription maps and target management within vineyards. Variable-rate applications </w:t>
            </w:r>
            <w:r>
              <w:rPr>
                <w:rFonts w:ascii="Times New Roman" w:hAnsi="Times New Roman"/>
                <w:color w:val="000000" w:themeColor="text1"/>
                <w:lang w:val="en-NZ"/>
              </w:rPr>
              <w:t>and technologies</w:t>
            </w:r>
            <w:r w:rsidRPr="00D424FD">
              <w:rPr>
                <w:rFonts w:ascii="Times New Roman" w:hAnsi="Times New Roman"/>
                <w:color w:val="000000" w:themeColor="text1"/>
                <w:lang w:val="en-NZ"/>
              </w:rPr>
              <w:t xml:space="preserve">: fertilization, </w:t>
            </w:r>
            <w:r>
              <w:rPr>
                <w:rFonts w:ascii="Times New Roman" w:hAnsi="Times New Roman"/>
                <w:color w:val="000000" w:themeColor="text1"/>
                <w:lang w:val="en-NZ"/>
              </w:rPr>
              <w:t xml:space="preserve">irrigation, </w:t>
            </w:r>
            <w:r w:rsidRPr="00D424FD">
              <w:rPr>
                <w:rFonts w:ascii="Times New Roman" w:hAnsi="Times New Roman"/>
                <w:color w:val="000000" w:themeColor="text1"/>
                <w:lang w:val="en-NZ"/>
              </w:rPr>
              <w:t xml:space="preserve">leaf-removal, selective harvesting. </w:t>
            </w:r>
            <w:r w:rsidR="00CF38AC" w:rsidRPr="006D2379">
              <w:rPr>
                <w:rFonts w:ascii="Times New Roman" w:hAnsi="Times New Roman"/>
                <w:color w:val="000000" w:themeColor="text1"/>
                <w:lang w:val="en-NZ"/>
              </w:rPr>
              <w:t>Canopy protection in precision agriculture.</w:t>
            </w:r>
          </w:p>
        </w:tc>
        <w:tc>
          <w:tcPr>
            <w:tcW w:w="606" w:type="dxa"/>
          </w:tcPr>
          <w:p w14:paraId="07C311C2" w14:textId="2A7A66E4" w:rsidR="00CF38AC" w:rsidRPr="006D2379" w:rsidRDefault="00D424FD" w:rsidP="00CF38AC">
            <w:pPr>
              <w:rPr>
                <w:color w:val="000000" w:themeColor="text1"/>
                <w:lang w:val="en-NZ"/>
              </w:rPr>
            </w:pPr>
            <w:r>
              <w:rPr>
                <w:color w:val="000000" w:themeColor="text1"/>
                <w:lang w:val="en-NZ"/>
              </w:rPr>
              <w:t>1.5</w:t>
            </w:r>
          </w:p>
        </w:tc>
      </w:tr>
      <w:tr w:rsidR="00CF38AC" w:rsidRPr="006D2379" w14:paraId="75E459FB" w14:textId="77777777" w:rsidTr="00CF38AC">
        <w:tc>
          <w:tcPr>
            <w:tcW w:w="6074" w:type="dxa"/>
          </w:tcPr>
          <w:p w14:paraId="461E4E59" w14:textId="77777777" w:rsidR="00CF38AC" w:rsidRPr="006D2379" w:rsidRDefault="00CF38AC" w:rsidP="00CF38AC">
            <w:pPr>
              <w:rPr>
                <w:rFonts w:ascii="Times New Roman" w:hAnsi="Times New Roman"/>
                <w:color w:val="000000" w:themeColor="text1"/>
                <w:lang w:val="en-NZ"/>
              </w:rPr>
            </w:pPr>
            <w:r w:rsidRPr="006D2379">
              <w:rPr>
                <w:rFonts w:ascii="Times New Roman" w:hAnsi="Times New Roman"/>
                <w:color w:val="000000" w:themeColor="text1"/>
                <w:lang w:val="en-NZ"/>
              </w:rPr>
              <w:t>Tutorials</w:t>
            </w:r>
          </w:p>
        </w:tc>
        <w:tc>
          <w:tcPr>
            <w:tcW w:w="606" w:type="dxa"/>
          </w:tcPr>
          <w:p w14:paraId="13B084D3" w14:textId="77777777" w:rsidR="00CF38AC" w:rsidRPr="006D2379" w:rsidRDefault="00CF38AC" w:rsidP="00CF38AC">
            <w:pPr>
              <w:rPr>
                <w:color w:val="000000" w:themeColor="text1"/>
                <w:lang w:val="en-NZ"/>
              </w:rPr>
            </w:pPr>
          </w:p>
        </w:tc>
      </w:tr>
      <w:tr w:rsidR="00CF38AC" w:rsidRPr="006D2379" w14:paraId="3DA147D9" w14:textId="77777777" w:rsidTr="00CF38AC">
        <w:tc>
          <w:tcPr>
            <w:tcW w:w="6074" w:type="dxa"/>
          </w:tcPr>
          <w:p w14:paraId="545CEF63" w14:textId="77777777" w:rsidR="00CF38AC" w:rsidRPr="006D2379" w:rsidRDefault="00CF38AC" w:rsidP="00CF38AC">
            <w:pPr>
              <w:rPr>
                <w:rFonts w:ascii="Times New Roman" w:hAnsi="Times New Roman"/>
                <w:color w:val="000000" w:themeColor="text1"/>
                <w:lang w:val="en-NZ"/>
              </w:rPr>
            </w:pPr>
            <w:r w:rsidRPr="006D2379">
              <w:rPr>
                <w:rFonts w:ascii="Times New Roman" w:hAnsi="Times New Roman"/>
                <w:color w:val="000000" w:themeColor="text1"/>
                <w:lang w:val="en-NZ"/>
              </w:rPr>
              <w:t>Seminars, field visit, and practical exercises.</w:t>
            </w:r>
          </w:p>
        </w:tc>
        <w:tc>
          <w:tcPr>
            <w:tcW w:w="606" w:type="dxa"/>
          </w:tcPr>
          <w:p w14:paraId="0C5896E3" w14:textId="77777777" w:rsidR="00CF38AC" w:rsidRPr="006D2379" w:rsidRDefault="00CF38AC" w:rsidP="00CF38AC">
            <w:pPr>
              <w:rPr>
                <w:color w:val="000000" w:themeColor="text1"/>
                <w:lang w:val="en-NZ"/>
              </w:rPr>
            </w:pPr>
            <w:r w:rsidRPr="006D2379">
              <w:rPr>
                <w:color w:val="000000" w:themeColor="text1"/>
                <w:lang w:val="en-NZ"/>
              </w:rPr>
              <w:t>1.0</w:t>
            </w:r>
          </w:p>
        </w:tc>
      </w:tr>
    </w:tbl>
    <w:p w14:paraId="6F4E3150" w14:textId="77777777" w:rsidR="005C68B6" w:rsidRPr="006D2379" w:rsidRDefault="005C68B6" w:rsidP="005C68B6">
      <w:pPr>
        <w:rPr>
          <w:color w:val="000000" w:themeColor="text1"/>
          <w:lang w:val="en-NZ"/>
        </w:rPr>
      </w:pPr>
    </w:p>
    <w:p w14:paraId="25C6AFF8" w14:textId="77777777" w:rsidR="005C68B6" w:rsidRPr="006D2379" w:rsidRDefault="005C68B6" w:rsidP="008F6A6F">
      <w:pPr>
        <w:spacing w:before="240" w:after="120"/>
        <w:rPr>
          <w:b/>
          <w:i/>
          <w:color w:val="000000" w:themeColor="text1"/>
          <w:sz w:val="18"/>
          <w:lang w:val="en-NZ"/>
        </w:rPr>
      </w:pPr>
      <w:r w:rsidRPr="006D2379">
        <w:rPr>
          <w:b/>
          <w:i/>
          <w:color w:val="000000" w:themeColor="text1"/>
          <w:sz w:val="18"/>
          <w:lang w:val="en-NZ"/>
        </w:rPr>
        <w:t>READING LIST</w:t>
      </w:r>
    </w:p>
    <w:p w14:paraId="4C6E60A4" w14:textId="77777777" w:rsidR="005C68B6" w:rsidRPr="006D2379" w:rsidRDefault="00882972" w:rsidP="005C68B6">
      <w:pPr>
        <w:tabs>
          <w:tab w:val="clear" w:pos="284"/>
        </w:tabs>
        <w:spacing w:line="240" w:lineRule="atLeast"/>
        <w:rPr>
          <w:smallCaps/>
          <w:color w:val="000000" w:themeColor="text1"/>
          <w:sz w:val="16"/>
          <w:szCs w:val="16"/>
          <w:lang w:val="en-NZ"/>
        </w:rPr>
      </w:pPr>
      <w:r w:rsidRPr="006D2379">
        <w:rPr>
          <w:color w:val="000000" w:themeColor="text1"/>
          <w:sz w:val="18"/>
          <w:szCs w:val="18"/>
          <w:lang w:val="en-NZ"/>
        </w:rPr>
        <w:t>Reading materials will be hand out during the course</w:t>
      </w:r>
      <w:r w:rsidR="0079693D" w:rsidRPr="006D2379">
        <w:rPr>
          <w:color w:val="000000" w:themeColor="text1"/>
          <w:sz w:val="18"/>
          <w:szCs w:val="18"/>
          <w:lang w:val="en-NZ"/>
        </w:rPr>
        <w:t>. Documents and teaching materials will be shared using the Blackboard platform.</w:t>
      </w:r>
    </w:p>
    <w:p w14:paraId="417E57C2" w14:textId="77777777" w:rsidR="005C68B6" w:rsidRPr="006D2379" w:rsidRDefault="005C68B6" w:rsidP="005C68B6">
      <w:pPr>
        <w:tabs>
          <w:tab w:val="clear" w:pos="284"/>
        </w:tabs>
        <w:spacing w:line="240" w:lineRule="atLeast"/>
        <w:rPr>
          <w:b/>
          <w:i/>
          <w:color w:val="000000" w:themeColor="text1"/>
          <w:sz w:val="18"/>
          <w:lang w:val="en-NZ"/>
        </w:rPr>
      </w:pPr>
    </w:p>
    <w:p w14:paraId="26F981B3" w14:textId="77777777" w:rsidR="005C68B6" w:rsidRPr="006D2379" w:rsidRDefault="005C68B6" w:rsidP="005C68B6">
      <w:pPr>
        <w:tabs>
          <w:tab w:val="clear" w:pos="284"/>
        </w:tabs>
        <w:spacing w:line="240" w:lineRule="atLeast"/>
        <w:rPr>
          <w:rStyle w:val="Collegamentoipertestuale"/>
          <w:color w:val="000000" w:themeColor="text1"/>
          <w:spacing w:val="-5"/>
          <w:sz w:val="18"/>
          <w:szCs w:val="26"/>
          <w:lang w:val="en-NZ"/>
        </w:rPr>
      </w:pPr>
    </w:p>
    <w:p w14:paraId="4CF169CC" w14:textId="77777777" w:rsidR="005C68B6" w:rsidRPr="006D2379" w:rsidRDefault="005C68B6" w:rsidP="005C68B6">
      <w:pPr>
        <w:spacing w:before="240" w:after="120" w:line="220" w:lineRule="exact"/>
        <w:rPr>
          <w:b/>
          <w:i/>
          <w:color w:val="000000" w:themeColor="text1"/>
          <w:sz w:val="18"/>
          <w:szCs w:val="18"/>
          <w:lang w:val="en-NZ"/>
        </w:rPr>
      </w:pPr>
      <w:r w:rsidRPr="006D2379">
        <w:rPr>
          <w:b/>
          <w:i/>
          <w:color w:val="000000" w:themeColor="text1"/>
          <w:sz w:val="18"/>
          <w:szCs w:val="18"/>
          <w:lang w:val="en-NZ"/>
        </w:rPr>
        <w:t>TEACHING METHOD</w:t>
      </w:r>
    </w:p>
    <w:p w14:paraId="647492AB" w14:textId="77777777" w:rsidR="00124B23" w:rsidRPr="006D2379" w:rsidRDefault="00124B23" w:rsidP="00124B23">
      <w:pPr>
        <w:pStyle w:val="Testo2"/>
        <w:rPr>
          <w:color w:val="000000" w:themeColor="text1"/>
          <w:lang w:val="en-US"/>
        </w:rPr>
      </w:pPr>
      <w:r w:rsidRPr="006D2379">
        <w:rPr>
          <w:color w:val="000000" w:themeColor="text1"/>
          <w:lang w:val="en-US"/>
        </w:rPr>
        <w:t>The teaching method will embrace the following activities:</w:t>
      </w:r>
    </w:p>
    <w:p w14:paraId="672BA8F9" w14:textId="77777777" w:rsidR="00124B23" w:rsidRPr="006D2379" w:rsidRDefault="00124B23" w:rsidP="00124B23">
      <w:pPr>
        <w:pStyle w:val="Testo2"/>
        <w:rPr>
          <w:color w:val="000000" w:themeColor="text1"/>
          <w:lang w:val="en-US"/>
        </w:rPr>
      </w:pPr>
      <w:r w:rsidRPr="006D2379">
        <w:rPr>
          <w:color w:val="000000" w:themeColor="text1"/>
          <w:lang w:val="en-US"/>
        </w:rPr>
        <w:t>1) Indoor class where main course topics will be covered along with several applied examples. Interactions between instructor and students will be promoted by stimulating discussion of specific case studies.</w:t>
      </w:r>
    </w:p>
    <w:p w14:paraId="10FE4628" w14:textId="77777777" w:rsidR="00124B23" w:rsidRPr="006D2379" w:rsidRDefault="00124B23" w:rsidP="00124B23">
      <w:pPr>
        <w:pStyle w:val="Testo2"/>
        <w:rPr>
          <w:color w:val="000000" w:themeColor="text1"/>
          <w:lang w:val="en-US"/>
        </w:rPr>
      </w:pPr>
      <w:r w:rsidRPr="006D2379">
        <w:rPr>
          <w:color w:val="000000" w:themeColor="text1"/>
          <w:lang w:val="en-US"/>
        </w:rPr>
        <w:t>2) Indoor practical activities and exercises related to setting up of prescription maps. Technical seminars.</w:t>
      </w:r>
    </w:p>
    <w:p w14:paraId="05D61D04" w14:textId="154488CB" w:rsidR="00124B23" w:rsidRPr="006D2379" w:rsidRDefault="00124B23" w:rsidP="00124B23">
      <w:pPr>
        <w:pStyle w:val="Testo2"/>
        <w:rPr>
          <w:color w:val="000000" w:themeColor="text1"/>
          <w:lang w:val="en-US"/>
        </w:rPr>
      </w:pPr>
      <w:r w:rsidRPr="006D2379">
        <w:rPr>
          <w:color w:val="000000" w:themeColor="text1"/>
          <w:lang w:val="en-US"/>
        </w:rPr>
        <w:t xml:space="preserve">3) Field visits for a better appreciation of how </w:t>
      </w:r>
      <w:r w:rsidR="00142618">
        <w:rPr>
          <w:color w:val="000000" w:themeColor="text1"/>
          <w:lang w:val="en-US"/>
        </w:rPr>
        <w:t>vineyard variability is considered</w:t>
      </w:r>
      <w:r w:rsidRPr="006D2379">
        <w:rPr>
          <w:color w:val="000000" w:themeColor="text1"/>
          <w:lang w:val="en-US"/>
        </w:rPr>
        <w:t xml:space="preserve"> in several contexts as based on different cultural and environmental constraints, and commercial targets.</w:t>
      </w:r>
    </w:p>
    <w:p w14:paraId="0223C393" w14:textId="77777777" w:rsidR="005C68B6" w:rsidRPr="000B7EA4" w:rsidRDefault="005C68B6" w:rsidP="00124B23">
      <w:pPr>
        <w:pStyle w:val="Testo2"/>
        <w:rPr>
          <w:color w:val="000000" w:themeColor="text1"/>
          <w:lang w:val="en-AU"/>
        </w:rPr>
      </w:pPr>
    </w:p>
    <w:p w14:paraId="31129CD2" w14:textId="77777777" w:rsidR="005C68B6" w:rsidRPr="006D2379" w:rsidRDefault="005C68B6" w:rsidP="005C68B6">
      <w:pPr>
        <w:spacing w:before="240" w:after="120" w:line="220" w:lineRule="exact"/>
        <w:rPr>
          <w:b/>
          <w:i/>
          <w:color w:val="000000" w:themeColor="text1"/>
          <w:sz w:val="18"/>
          <w:szCs w:val="18"/>
          <w:lang w:val="en-NZ"/>
        </w:rPr>
      </w:pPr>
      <w:r w:rsidRPr="006D2379">
        <w:rPr>
          <w:b/>
          <w:i/>
          <w:color w:val="000000" w:themeColor="text1"/>
          <w:sz w:val="18"/>
          <w:szCs w:val="18"/>
          <w:lang w:val="en-NZ"/>
        </w:rPr>
        <w:t>ASSESSMENT METHODS</w:t>
      </w:r>
      <w:r w:rsidR="008F6A6F" w:rsidRPr="006D2379">
        <w:rPr>
          <w:b/>
          <w:i/>
          <w:color w:val="000000" w:themeColor="text1"/>
          <w:sz w:val="18"/>
          <w:szCs w:val="18"/>
          <w:lang w:val="en-NZ"/>
        </w:rPr>
        <w:t xml:space="preserve"> AND CRITERIA</w:t>
      </w:r>
    </w:p>
    <w:p w14:paraId="3216E388" w14:textId="77777777" w:rsidR="00124B23" w:rsidRPr="006D2379" w:rsidRDefault="00124B23" w:rsidP="006B1E98">
      <w:pPr>
        <w:pStyle w:val="Testo2"/>
        <w:rPr>
          <w:rFonts w:ascii="Times New Roman" w:hAnsi="Times New Roman"/>
          <w:snapToGrid w:val="0"/>
          <w:color w:val="000000" w:themeColor="text1"/>
          <w:szCs w:val="18"/>
          <w:lang w:val="en-US"/>
        </w:rPr>
      </w:pP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The final examination will be oral. Students will receive three general questions aiming to verify knowledge and links between subjects. Each question will be valued a maximum score of 10/30 each. Final score will be the sum of the three different question scores and will be expressed on a 0–30 scale. Indicator of success : Score ≥18/30.</w:t>
      </w:r>
    </w:p>
    <w:p w14:paraId="3323AE93" w14:textId="77777777" w:rsidR="005C68B6" w:rsidRPr="006D2379" w:rsidRDefault="006B1E98" w:rsidP="006B1E98">
      <w:pPr>
        <w:pStyle w:val="Testo2"/>
        <w:rPr>
          <w:color w:val="000000" w:themeColor="text1"/>
          <w:szCs w:val="18"/>
          <w:lang w:val="en-US"/>
        </w:rPr>
      </w:pP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Studen</w:t>
      </w:r>
      <w:r w:rsidR="00A11505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t</w:t>
      </w: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s will </w:t>
      </w:r>
      <w:r w:rsidR="00EC57DA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be expected to</w:t>
      </w: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 </w:t>
      </w:r>
      <w:r w:rsidR="00EC57DA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prove</w:t>
      </w:r>
      <w:r w:rsidR="00124B23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 a)</w:t>
      </w:r>
      <w:r w:rsidR="00EC57DA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 </w:t>
      </w:r>
      <w:r w:rsidR="00A11505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skills on</w:t>
      </w: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 precision agriculture applied to </w:t>
      </w:r>
      <w:r w:rsidR="00A11505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perennial </w:t>
      </w: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tree crops in terms of theoretical knowledge</w:t>
      </w:r>
      <w:r w:rsidR="00A11505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 as well as </w:t>
      </w: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in terms of </w:t>
      </w:r>
      <w:r w:rsidR="00A11505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capability</w:t>
      </w: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 to use them in specific operational contexts </w:t>
      </w:r>
      <w:r w:rsidR="00A11505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toward</w:t>
      </w: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 </w:t>
      </w:r>
      <w:r w:rsidR="00EC57DA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improved </w:t>
      </w: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economic and environmental sustainability </w:t>
      </w:r>
      <w:r w:rsidR="00EC57DA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of orchard and vineyard management</w:t>
      </w:r>
      <w:r w:rsidR="00124B23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; b) language clarity; c) ability to make connections between different topics.</w:t>
      </w:r>
    </w:p>
    <w:p w14:paraId="7AED12E4" w14:textId="77777777" w:rsidR="005C68B6" w:rsidRPr="006D2379" w:rsidRDefault="005C68B6" w:rsidP="005C68B6">
      <w:pPr>
        <w:pStyle w:val="Testo2"/>
        <w:rPr>
          <w:color w:val="000000" w:themeColor="text1"/>
          <w:szCs w:val="18"/>
          <w:lang w:val="en-US"/>
        </w:rPr>
      </w:pPr>
    </w:p>
    <w:p w14:paraId="73FABEB1" w14:textId="77777777" w:rsidR="005C68B6" w:rsidRPr="006D2379" w:rsidRDefault="008114EE" w:rsidP="005C68B6">
      <w:pPr>
        <w:spacing w:before="240" w:after="120"/>
        <w:rPr>
          <w:b/>
          <w:i/>
          <w:color w:val="000000" w:themeColor="text1"/>
          <w:sz w:val="18"/>
          <w:lang w:val="en-NZ"/>
        </w:rPr>
      </w:pPr>
      <w:r w:rsidRPr="006D2379">
        <w:rPr>
          <w:b/>
          <w:i/>
          <w:color w:val="000000" w:themeColor="text1"/>
          <w:sz w:val="18"/>
          <w:lang w:val="en-NZ"/>
        </w:rPr>
        <w:t>NOTES</w:t>
      </w:r>
      <w:r w:rsidR="008F6A6F" w:rsidRPr="006D2379">
        <w:rPr>
          <w:b/>
          <w:i/>
          <w:color w:val="000000" w:themeColor="text1"/>
          <w:sz w:val="18"/>
          <w:lang w:val="en-NZ"/>
        </w:rPr>
        <w:t xml:space="preserve"> AND PREREQUISITES</w:t>
      </w:r>
    </w:p>
    <w:p w14:paraId="757294E4" w14:textId="77777777" w:rsidR="005C68B6" w:rsidRPr="006D2379" w:rsidRDefault="00EC57DA" w:rsidP="00934298">
      <w:pPr>
        <w:pStyle w:val="Testo2"/>
        <w:rPr>
          <w:color w:val="000000" w:themeColor="text1"/>
          <w:lang w:val="en-NZ"/>
        </w:rPr>
      </w:pPr>
      <w:r w:rsidRPr="006D2379">
        <w:rPr>
          <w:rFonts w:ascii="Times New Roman" w:hAnsi="Times New Roman"/>
          <w:color w:val="000000" w:themeColor="text1"/>
          <w:szCs w:val="18"/>
          <w:lang w:val="en-US"/>
        </w:rPr>
        <w:t>Basic knowledge on geomatics, sensor</w:t>
      </w:r>
      <w:r w:rsidR="005C1135" w:rsidRPr="006D2379">
        <w:rPr>
          <w:rFonts w:ascii="Times New Roman" w:hAnsi="Times New Roman"/>
          <w:color w:val="000000" w:themeColor="text1"/>
          <w:szCs w:val="18"/>
          <w:lang w:val="en-US"/>
        </w:rPr>
        <w:t>s</w:t>
      </w:r>
      <w:r w:rsidRPr="006D2379">
        <w:rPr>
          <w:rFonts w:ascii="Times New Roman" w:hAnsi="Times New Roman"/>
          <w:color w:val="000000" w:themeColor="text1"/>
          <w:szCs w:val="18"/>
          <w:lang w:val="en-US"/>
        </w:rPr>
        <w:t xml:space="preserve"> and automation principles</w:t>
      </w:r>
      <w:r w:rsidR="005C1135" w:rsidRPr="006D2379">
        <w:rPr>
          <w:rFonts w:ascii="Times New Roman" w:hAnsi="Times New Roman"/>
          <w:color w:val="000000" w:themeColor="text1"/>
          <w:szCs w:val="18"/>
          <w:lang w:val="en-US"/>
        </w:rPr>
        <w:t xml:space="preserve"> as well as on agronomy and fruit tree crops is recommended for better understanding of the course contents</w:t>
      </w:r>
      <w:r w:rsidR="008F6A6F" w:rsidRPr="006D2379">
        <w:rPr>
          <w:rFonts w:ascii="Times New Roman" w:hAnsi="Times New Roman"/>
          <w:color w:val="000000" w:themeColor="text1"/>
          <w:szCs w:val="18"/>
          <w:lang w:val="en-US"/>
        </w:rPr>
        <w:t xml:space="preserve">. </w:t>
      </w:r>
      <w:r w:rsidR="0079693D" w:rsidRPr="006D2379">
        <w:rPr>
          <w:bCs/>
          <w:color w:val="000000" w:themeColor="text1"/>
          <w:lang w:val="en-NZ"/>
        </w:rPr>
        <w:t xml:space="preserve">Time schedule and location for students’ colloquia : everyday after class at the Department of </w:t>
      </w:r>
      <w:r w:rsidR="0079693D" w:rsidRPr="006D2379">
        <w:rPr>
          <w:bCs/>
          <w:color w:val="000000" w:themeColor="text1"/>
          <w:lang w:val="en-NZ"/>
        </w:rPr>
        <w:lastRenderedPageBreak/>
        <w:t>Sustainable Crop Production (DI.PRO.VE.S.) – Section of Fruit Culture and Viticulture (office 313)</w:t>
      </w:r>
    </w:p>
    <w:sectPr w:rsidR="005C68B6" w:rsidRPr="006D237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52D7C"/>
    <w:multiLevelType w:val="hybridMultilevel"/>
    <w:tmpl w:val="498A87D4"/>
    <w:lvl w:ilvl="0" w:tplc="EE4692F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3651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50"/>
    <w:rsid w:val="000427A4"/>
    <w:rsid w:val="00052AC8"/>
    <w:rsid w:val="00064630"/>
    <w:rsid w:val="0007438B"/>
    <w:rsid w:val="00074741"/>
    <w:rsid w:val="000824F1"/>
    <w:rsid w:val="000B5D23"/>
    <w:rsid w:val="000B7EA4"/>
    <w:rsid w:val="000D5D51"/>
    <w:rsid w:val="000F21B0"/>
    <w:rsid w:val="00104526"/>
    <w:rsid w:val="00115CFC"/>
    <w:rsid w:val="00124B23"/>
    <w:rsid w:val="00131383"/>
    <w:rsid w:val="00142618"/>
    <w:rsid w:val="0014392B"/>
    <w:rsid w:val="0018453E"/>
    <w:rsid w:val="0019383C"/>
    <w:rsid w:val="001B0F73"/>
    <w:rsid w:val="001D40CB"/>
    <w:rsid w:val="001F2EC7"/>
    <w:rsid w:val="0022498E"/>
    <w:rsid w:val="00244DDD"/>
    <w:rsid w:val="00246E95"/>
    <w:rsid w:val="002809CB"/>
    <w:rsid w:val="002A2703"/>
    <w:rsid w:val="002D49A0"/>
    <w:rsid w:val="002D6FD3"/>
    <w:rsid w:val="002E38F3"/>
    <w:rsid w:val="002E5050"/>
    <w:rsid w:val="003254D8"/>
    <w:rsid w:val="00333BB8"/>
    <w:rsid w:val="00371DB6"/>
    <w:rsid w:val="003809C1"/>
    <w:rsid w:val="003938BB"/>
    <w:rsid w:val="00393A21"/>
    <w:rsid w:val="003B7D9E"/>
    <w:rsid w:val="003C2988"/>
    <w:rsid w:val="003E43A9"/>
    <w:rsid w:val="00410211"/>
    <w:rsid w:val="00453996"/>
    <w:rsid w:val="00491274"/>
    <w:rsid w:val="004B6B8B"/>
    <w:rsid w:val="004F7CA4"/>
    <w:rsid w:val="0050616A"/>
    <w:rsid w:val="00541AD8"/>
    <w:rsid w:val="00590DB6"/>
    <w:rsid w:val="005A4AA0"/>
    <w:rsid w:val="005C1135"/>
    <w:rsid w:val="005C68B6"/>
    <w:rsid w:val="005D2BE5"/>
    <w:rsid w:val="005F0CE1"/>
    <w:rsid w:val="0060589B"/>
    <w:rsid w:val="006B1E98"/>
    <w:rsid w:val="006D2379"/>
    <w:rsid w:val="0077007E"/>
    <w:rsid w:val="0079693D"/>
    <w:rsid w:val="007A0199"/>
    <w:rsid w:val="007A48BD"/>
    <w:rsid w:val="008114EE"/>
    <w:rsid w:val="00882972"/>
    <w:rsid w:val="008A77C6"/>
    <w:rsid w:val="008D7F7A"/>
    <w:rsid w:val="008F6A6F"/>
    <w:rsid w:val="00934298"/>
    <w:rsid w:val="00986E11"/>
    <w:rsid w:val="009E1CA0"/>
    <w:rsid w:val="00A11505"/>
    <w:rsid w:val="00AA4DAF"/>
    <w:rsid w:val="00AC45F1"/>
    <w:rsid w:val="00AF1168"/>
    <w:rsid w:val="00B3520E"/>
    <w:rsid w:val="00B97534"/>
    <w:rsid w:val="00BE12B6"/>
    <w:rsid w:val="00C136C7"/>
    <w:rsid w:val="00C70ACC"/>
    <w:rsid w:val="00CA72CC"/>
    <w:rsid w:val="00CA7B8B"/>
    <w:rsid w:val="00CD428A"/>
    <w:rsid w:val="00CE6708"/>
    <w:rsid w:val="00CF38AC"/>
    <w:rsid w:val="00D05907"/>
    <w:rsid w:val="00D32027"/>
    <w:rsid w:val="00D424FD"/>
    <w:rsid w:val="00D54DA7"/>
    <w:rsid w:val="00D75CA8"/>
    <w:rsid w:val="00DC54BB"/>
    <w:rsid w:val="00E22BAA"/>
    <w:rsid w:val="00E57BC0"/>
    <w:rsid w:val="00E773F5"/>
    <w:rsid w:val="00E82362"/>
    <w:rsid w:val="00EC57DA"/>
    <w:rsid w:val="00F0145C"/>
    <w:rsid w:val="00F55435"/>
    <w:rsid w:val="00FB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04EDC"/>
  <w15:docId w15:val="{2C7EE9B1-3C9F-4820-A287-ECEED3B5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F7CA4"/>
    <w:rPr>
      <w:rFonts w:ascii="Tahoma" w:hAnsi="Tahoma" w:cs="Tahoma"/>
      <w:sz w:val="16"/>
      <w:szCs w:val="1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table" w:styleId="Grigliatabella">
    <w:name w:val="Table Grid"/>
    <w:basedOn w:val="Tabellanormale"/>
    <w:rsid w:val="00605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FB74A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19383C"/>
    <w:rPr>
      <w:color w:val="800080" w:themeColor="followedHyperlink"/>
      <w:u w:val="single"/>
    </w:rPr>
  </w:style>
  <w:style w:type="character" w:customStyle="1" w:styleId="hps">
    <w:name w:val="hps"/>
    <w:rsid w:val="00244DDD"/>
  </w:style>
  <w:style w:type="character" w:customStyle="1" w:styleId="alt-edited1">
    <w:name w:val="alt-edited1"/>
    <w:basedOn w:val="Carpredefinitoparagrafo"/>
    <w:rsid w:val="005C68B6"/>
    <w:rPr>
      <w:color w:val="4D90F0"/>
    </w:rPr>
  </w:style>
  <w:style w:type="character" w:customStyle="1" w:styleId="shorttext">
    <w:name w:val="short_text"/>
    <w:basedOn w:val="Carpredefinitoparagrafo"/>
    <w:rsid w:val="005C68B6"/>
  </w:style>
  <w:style w:type="paragraph" w:customStyle="1" w:styleId="Textbody">
    <w:name w:val="Text body"/>
    <w:basedOn w:val="Normale"/>
    <w:rsid w:val="00124B23"/>
    <w:pPr>
      <w:tabs>
        <w:tab w:val="clear" w:pos="284"/>
      </w:tabs>
      <w:suppressAutoHyphens/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isa.boiardi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453AB-2248-40A0-9892-FCFF53F6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25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UCSC Piacenza</dc:creator>
  <cp:lastModifiedBy>Gatti Matteo (matteo.gatti)</cp:lastModifiedBy>
  <cp:revision>3</cp:revision>
  <cp:lastPrinted>2016-04-11T15:16:00Z</cp:lastPrinted>
  <dcterms:created xsi:type="dcterms:W3CDTF">2022-06-11T09:56:00Z</dcterms:created>
  <dcterms:modified xsi:type="dcterms:W3CDTF">2022-06-11T10:23:00Z</dcterms:modified>
</cp:coreProperties>
</file>