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C0" w:rsidRPr="006D4CB5" w:rsidRDefault="001D33C7" w:rsidP="006D4CB5">
      <w:pPr>
        <w:pStyle w:val="Titolo1"/>
        <w:spacing w:before="0" w:after="120" w:line="240" w:lineRule="auto"/>
        <w:rPr>
          <w:rFonts w:ascii="Times New Roman" w:hAnsi="Times New Roman"/>
        </w:rPr>
      </w:pPr>
      <w:r>
        <w:t>USO SOSTENIBILE DEGLI AGRO-CHIMICI NELLE FILIERE AGRO-ALIMENTARI</w:t>
      </w:r>
    </w:p>
    <w:p w:rsidR="00744BC0" w:rsidRPr="006D4CB5" w:rsidRDefault="00B7069F" w:rsidP="006D4CB5">
      <w:pPr>
        <w:pStyle w:val="Titolo2"/>
        <w:spacing w:after="120" w:line="240" w:lineRule="auto"/>
        <w:rPr>
          <w:rFonts w:ascii="Times New Roman" w:hAnsi="Times New Roman"/>
          <w:sz w:val="20"/>
        </w:rPr>
      </w:pPr>
      <w:r w:rsidRPr="006D4CB5">
        <w:rPr>
          <w:rFonts w:ascii="Times New Roman" w:hAnsi="Times New Roman"/>
          <w:sz w:val="20"/>
        </w:rPr>
        <w:t xml:space="preserve">Prof. </w:t>
      </w:r>
      <w:r w:rsidR="00744BC0" w:rsidRPr="006D4CB5">
        <w:rPr>
          <w:rFonts w:ascii="Times New Roman" w:hAnsi="Times New Roman"/>
          <w:sz w:val="20"/>
        </w:rPr>
        <w:t>Ettore Capri</w:t>
      </w:r>
    </w:p>
    <w:p w:rsidR="007D0B46" w:rsidRPr="006D4CB5" w:rsidRDefault="007D0B46" w:rsidP="006D4CB5">
      <w:pPr>
        <w:spacing w:after="120" w:line="240" w:lineRule="auto"/>
        <w:rPr>
          <w:rFonts w:ascii="Times New Roman" w:hAnsi="Times New Roman"/>
        </w:rPr>
      </w:pPr>
    </w:p>
    <w:p w:rsidR="007D0B46" w:rsidRPr="006D4CB5" w:rsidRDefault="007D0B46" w:rsidP="006D4CB5">
      <w:pPr>
        <w:spacing w:after="120" w:line="240" w:lineRule="auto"/>
        <w:rPr>
          <w:rFonts w:ascii="Times New Roman" w:hAnsi="Times New Roman"/>
          <w:b/>
        </w:rPr>
      </w:pPr>
      <w:r w:rsidRPr="006D4CB5">
        <w:rPr>
          <w:rFonts w:ascii="Times New Roman" w:hAnsi="Times New Roman"/>
          <w:b/>
          <w:i/>
        </w:rPr>
        <w:t>OBIETTIVO DEL CORSO E RISULTATI DI APPRENDIMENTO ATTESI</w:t>
      </w:r>
    </w:p>
    <w:p w:rsidR="00975832" w:rsidRPr="006D4CB5" w:rsidRDefault="007D0B46" w:rsidP="006D4CB5">
      <w:pPr>
        <w:spacing w:after="120" w:line="240" w:lineRule="auto"/>
        <w:rPr>
          <w:rFonts w:ascii="Times New Roman" w:hAnsi="Times New Roman"/>
        </w:rPr>
      </w:pPr>
      <w:r w:rsidRPr="006D4CB5">
        <w:rPr>
          <w:rFonts w:ascii="Times New Roman" w:hAnsi="Times New Roman"/>
        </w:rPr>
        <w:t>L’insegnamento ha lo scopo di permettere allo studente di</w:t>
      </w:r>
      <w:r w:rsidR="00975832" w:rsidRPr="006D4CB5">
        <w:rPr>
          <w:rFonts w:ascii="Times New Roman" w:hAnsi="Times New Roman"/>
        </w:rPr>
        <w:t xml:space="preserve"> acquisire</w:t>
      </w:r>
      <w:r w:rsidRPr="006D4CB5">
        <w:rPr>
          <w:rFonts w:ascii="Times New Roman" w:hAnsi="Times New Roman"/>
        </w:rPr>
        <w:t xml:space="preserve"> </w:t>
      </w:r>
      <w:r w:rsidR="00975832" w:rsidRPr="006D4CB5">
        <w:rPr>
          <w:rFonts w:ascii="Times New Roman" w:hAnsi="Times New Roman"/>
        </w:rPr>
        <w:t xml:space="preserve">(a) </w:t>
      </w:r>
      <w:r w:rsidR="00DE01D4" w:rsidRPr="006D4CB5">
        <w:rPr>
          <w:rFonts w:ascii="Times New Roman" w:hAnsi="Times New Roman"/>
        </w:rPr>
        <w:t>le</w:t>
      </w:r>
      <w:r w:rsidRPr="006D4CB5">
        <w:rPr>
          <w:rFonts w:ascii="Times New Roman" w:hAnsi="Times New Roman"/>
        </w:rPr>
        <w:t xml:space="preserve"> </w:t>
      </w:r>
      <w:r w:rsidR="00DE01D4" w:rsidRPr="006D4CB5">
        <w:rPr>
          <w:rFonts w:ascii="Times New Roman" w:hAnsi="Times New Roman"/>
        </w:rPr>
        <w:t>conoscenze</w:t>
      </w:r>
      <w:r w:rsidRPr="006D4CB5">
        <w:rPr>
          <w:rFonts w:ascii="Times New Roman" w:hAnsi="Times New Roman"/>
        </w:rPr>
        <w:t xml:space="preserve"> </w:t>
      </w:r>
      <w:r w:rsidR="00DE01D4" w:rsidRPr="006D4CB5">
        <w:rPr>
          <w:rFonts w:ascii="Times New Roman" w:hAnsi="Times New Roman"/>
        </w:rPr>
        <w:t xml:space="preserve"> sulle caratteristiche e l’uso sostenibile degli agro</w:t>
      </w:r>
      <w:r w:rsidR="001D33C7">
        <w:rPr>
          <w:rFonts w:ascii="Times New Roman" w:hAnsi="Times New Roman"/>
        </w:rPr>
        <w:t>chimici</w:t>
      </w:r>
      <w:r w:rsidR="00DE01D4" w:rsidRPr="006D4CB5">
        <w:rPr>
          <w:rFonts w:ascii="Times New Roman" w:hAnsi="Times New Roman"/>
        </w:rPr>
        <w:t xml:space="preserve"> </w:t>
      </w:r>
      <w:r w:rsidRPr="006D4CB5">
        <w:rPr>
          <w:rFonts w:ascii="Times New Roman" w:hAnsi="Times New Roman"/>
        </w:rPr>
        <w:t xml:space="preserve">in una visione operativa, moderna </w:t>
      </w:r>
      <w:r w:rsidR="00DE01D4" w:rsidRPr="006D4CB5">
        <w:rPr>
          <w:rFonts w:ascii="Times New Roman" w:hAnsi="Times New Roman"/>
        </w:rPr>
        <w:t>al</w:t>
      </w:r>
      <w:r w:rsidRPr="006D4CB5">
        <w:rPr>
          <w:rFonts w:ascii="Times New Roman" w:hAnsi="Times New Roman"/>
        </w:rPr>
        <w:t xml:space="preserve"> contesto</w:t>
      </w:r>
      <w:r w:rsidR="00DE01D4" w:rsidRPr="006D4CB5">
        <w:rPr>
          <w:rFonts w:ascii="Times New Roman" w:hAnsi="Times New Roman"/>
        </w:rPr>
        <w:t xml:space="preserve"> attuale</w:t>
      </w:r>
      <w:r w:rsidRPr="006D4CB5">
        <w:rPr>
          <w:rFonts w:ascii="Times New Roman" w:hAnsi="Times New Roman"/>
        </w:rPr>
        <w:t xml:space="preserve"> interdisciplinare di filiera agro-alimentare</w:t>
      </w:r>
      <w:r w:rsidR="00975832" w:rsidRPr="006D4CB5">
        <w:rPr>
          <w:rFonts w:ascii="Times New Roman" w:hAnsi="Times New Roman"/>
        </w:rPr>
        <w:t>; (b) le conoscenze di base sui prodotti fitosanitari</w:t>
      </w:r>
      <w:r w:rsidR="001D33C7">
        <w:rPr>
          <w:rFonts w:ascii="Times New Roman" w:hAnsi="Times New Roman"/>
        </w:rPr>
        <w:t xml:space="preserve"> e fertilizzanti</w:t>
      </w:r>
      <w:r w:rsidR="00975832" w:rsidRPr="006D4CB5">
        <w:rPr>
          <w:rFonts w:ascii="Times New Roman" w:hAnsi="Times New Roman"/>
        </w:rPr>
        <w:t xml:space="preserve"> relativamente ai fenomeni chimici e biochimici che regolano l’attività biologica (efficacia), la tossicologia, la degradazione e metabolizzazione, il comportamento nell’ambiente ed i residui nelle produzioni agricole e neg</w:t>
      </w:r>
      <w:r w:rsidR="007F2DF1" w:rsidRPr="006D4CB5">
        <w:rPr>
          <w:rFonts w:ascii="Times New Roman" w:hAnsi="Times New Roman"/>
        </w:rPr>
        <w:t>li alimenti da queste derivati; (c) le conoscenze sulle formulazioni, la loro miscibilità e modalità di buona applicazione agricola</w:t>
      </w:r>
      <w:r w:rsidR="00E350F0" w:rsidRPr="006D4CB5">
        <w:rPr>
          <w:rFonts w:ascii="Times New Roman" w:hAnsi="Times New Roman"/>
        </w:rPr>
        <w:t>.</w:t>
      </w:r>
    </w:p>
    <w:p w:rsidR="007D0B46" w:rsidRPr="006D4CB5" w:rsidRDefault="007D0B46" w:rsidP="006D4CB5">
      <w:pPr>
        <w:spacing w:after="120" w:line="240" w:lineRule="auto"/>
        <w:rPr>
          <w:rFonts w:ascii="Times New Roman" w:hAnsi="Times New Roman"/>
        </w:rPr>
      </w:pPr>
      <w:r w:rsidRPr="006D4CB5">
        <w:rPr>
          <w:rFonts w:ascii="Times New Roman" w:hAnsi="Times New Roman"/>
        </w:rPr>
        <w:t xml:space="preserve">Gli studenti attraverso il flusso di argomenti trattati potranno comprendere il significato delle procedure scientifiche e tecniche alla base della </w:t>
      </w:r>
      <w:r w:rsidR="00975832" w:rsidRPr="006D4CB5">
        <w:rPr>
          <w:rFonts w:ascii="Times New Roman" w:hAnsi="Times New Roman"/>
        </w:rPr>
        <w:t>valutazione del rischio</w:t>
      </w:r>
      <w:r w:rsidR="007F2DF1" w:rsidRPr="006D4CB5">
        <w:rPr>
          <w:rFonts w:ascii="Times New Roman" w:hAnsi="Times New Roman"/>
        </w:rPr>
        <w:t xml:space="preserve"> </w:t>
      </w:r>
      <w:r w:rsidR="001D33C7">
        <w:rPr>
          <w:rFonts w:ascii="Times New Roman" w:hAnsi="Times New Roman"/>
        </w:rPr>
        <w:t>e stabilire linee guida</w:t>
      </w:r>
      <w:r w:rsidR="007F2DF1" w:rsidRPr="006D4CB5">
        <w:rPr>
          <w:rFonts w:ascii="Times New Roman" w:hAnsi="Times New Roman"/>
        </w:rPr>
        <w:t xml:space="preserve"> </w:t>
      </w:r>
      <w:r w:rsidR="001D33C7">
        <w:rPr>
          <w:rFonts w:ascii="Times New Roman" w:hAnsi="Times New Roman"/>
        </w:rPr>
        <w:t>al loro</w:t>
      </w:r>
      <w:r w:rsidR="007F2DF1" w:rsidRPr="006D4CB5">
        <w:rPr>
          <w:rFonts w:ascii="Times New Roman" w:hAnsi="Times New Roman"/>
        </w:rPr>
        <w:t xml:space="preserve"> uso</w:t>
      </w:r>
      <w:r w:rsidR="001D33C7">
        <w:rPr>
          <w:rFonts w:ascii="Times New Roman" w:hAnsi="Times New Roman"/>
        </w:rPr>
        <w:t xml:space="preserve"> sostenibile</w:t>
      </w:r>
      <w:r w:rsidRPr="006D4CB5">
        <w:rPr>
          <w:rFonts w:ascii="Times New Roman" w:hAnsi="Times New Roman"/>
        </w:rPr>
        <w:t xml:space="preserve">. Le conoscenza acquisite durante le lezioni verranno consolidate attraverso esperienze pratiche svolte insieme ad esperti del settore attraverso esercitazioni al computer, incontri seminariali con operatori del settore ed esperienziali </w:t>
      </w:r>
      <w:r w:rsidR="007F2DF1" w:rsidRPr="006D4CB5">
        <w:rPr>
          <w:rFonts w:ascii="Times New Roman" w:hAnsi="Times New Roman"/>
        </w:rPr>
        <w:t xml:space="preserve">diretti in campagna </w:t>
      </w:r>
      <w:r w:rsidRPr="006D4CB5">
        <w:rPr>
          <w:rFonts w:ascii="Times New Roman" w:hAnsi="Times New Roman"/>
        </w:rPr>
        <w:t xml:space="preserve">presso </w:t>
      </w:r>
      <w:r w:rsidR="007F2DF1" w:rsidRPr="006D4CB5">
        <w:rPr>
          <w:rFonts w:ascii="Times New Roman" w:hAnsi="Times New Roman"/>
        </w:rPr>
        <w:t>aziende agricole</w:t>
      </w:r>
      <w:r w:rsidRPr="006D4CB5">
        <w:rPr>
          <w:rFonts w:ascii="Times New Roman" w:hAnsi="Times New Roman"/>
        </w:rPr>
        <w:t>.</w:t>
      </w:r>
    </w:p>
    <w:p w:rsidR="007D0B46" w:rsidRPr="006D4CB5" w:rsidRDefault="007D0B46" w:rsidP="006D4CB5">
      <w:pPr>
        <w:spacing w:after="120" w:line="240" w:lineRule="auto"/>
        <w:rPr>
          <w:rFonts w:ascii="Times New Roman" w:hAnsi="Times New Roman"/>
        </w:rPr>
      </w:pPr>
      <w:r w:rsidRPr="006D4CB5">
        <w:rPr>
          <w:rFonts w:ascii="Times New Roman" w:hAnsi="Times New Roman"/>
        </w:rPr>
        <w:t>Gli studenti al termine del corso potranno:</w:t>
      </w:r>
    </w:p>
    <w:p w:rsidR="007D0B46" w:rsidRPr="006D4CB5" w:rsidRDefault="007D0B46" w:rsidP="006D4CB5">
      <w:pPr>
        <w:spacing w:after="120" w:line="240" w:lineRule="auto"/>
        <w:rPr>
          <w:rFonts w:ascii="Times New Roman" w:hAnsi="Times New Roman"/>
        </w:rPr>
      </w:pPr>
      <w:r w:rsidRPr="006D4CB5">
        <w:rPr>
          <w:rFonts w:ascii="Times New Roman" w:hAnsi="Times New Roman"/>
        </w:rPr>
        <w:t xml:space="preserve">- saper </w:t>
      </w:r>
      <w:r w:rsidR="000A7FE5" w:rsidRPr="006D4CB5">
        <w:rPr>
          <w:rFonts w:ascii="Times New Roman" w:hAnsi="Times New Roman"/>
        </w:rPr>
        <w:t xml:space="preserve">applicare le procedure per </w:t>
      </w:r>
      <w:r w:rsidRPr="006D4CB5">
        <w:rPr>
          <w:rFonts w:ascii="Times New Roman" w:hAnsi="Times New Roman"/>
        </w:rPr>
        <w:t>la valutazione del rischio</w:t>
      </w:r>
      <w:r w:rsidR="000A7FE5" w:rsidRPr="006D4CB5">
        <w:rPr>
          <w:rFonts w:ascii="Times New Roman" w:hAnsi="Times New Roman"/>
        </w:rPr>
        <w:t xml:space="preserve"> ai fini dell’autorizzazione all’uso</w:t>
      </w:r>
      <w:r w:rsidR="002B2DCE" w:rsidRPr="006D4CB5">
        <w:rPr>
          <w:rFonts w:ascii="Times New Roman" w:hAnsi="Times New Roman"/>
        </w:rPr>
        <w:t xml:space="preserve"> e della corretta gestione agricola</w:t>
      </w:r>
      <w:r w:rsidRPr="006D4CB5">
        <w:rPr>
          <w:rFonts w:ascii="Times New Roman" w:hAnsi="Times New Roman"/>
        </w:rPr>
        <w:t xml:space="preserve">; </w:t>
      </w:r>
    </w:p>
    <w:p w:rsidR="007D0B46" w:rsidRPr="006D4CB5" w:rsidRDefault="007D0B46" w:rsidP="006D4CB5">
      <w:pPr>
        <w:spacing w:after="120" w:line="240" w:lineRule="auto"/>
        <w:rPr>
          <w:rFonts w:ascii="Times New Roman" w:hAnsi="Times New Roman"/>
        </w:rPr>
      </w:pPr>
      <w:r w:rsidRPr="006D4CB5">
        <w:rPr>
          <w:rFonts w:ascii="Times New Roman" w:hAnsi="Times New Roman"/>
        </w:rPr>
        <w:t>- saper raccogli</w:t>
      </w:r>
      <w:r w:rsidR="00EB498B" w:rsidRPr="006D4CB5">
        <w:rPr>
          <w:rFonts w:ascii="Times New Roman" w:hAnsi="Times New Roman"/>
        </w:rPr>
        <w:t>ere i dati  necessari alla stima degli effetti e del comportamento ambientale</w:t>
      </w:r>
      <w:r w:rsidRPr="006D4CB5">
        <w:rPr>
          <w:rFonts w:ascii="Times New Roman" w:hAnsi="Times New Roman"/>
        </w:rPr>
        <w:t xml:space="preserve">, elaborarli anche attraverso l’uso di modelli matematici e dei metodi più moderni di simulazione ed analisi. </w:t>
      </w:r>
    </w:p>
    <w:p w:rsidR="007D0B46" w:rsidRPr="006D4CB5" w:rsidRDefault="007D0B46" w:rsidP="006D4CB5">
      <w:pPr>
        <w:spacing w:after="120" w:line="240" w:lineRule="auto"/>
        <w:rPr>
          <w:rFonts w:ascii="Times New Roman" w:hAnsi="Times New Roman"/>
        </w:rPr>
      </w:pPr>
      <w:r w:rsidRPr="006D4CB5">
        <w:rPr>
          <w:rFonts w:ascii="Times New Roman" w:hAnsi="Times New Roman"/>
        </w:rPr>
        <w:t xml:space="preserve">- applicare approcci interdisciplinari sociologici, economici ed ambientali </w:t>
      </w:r>
      <w:r w:rsidR="00EB498B" w:rsidRPr="006D4CB5">
        <w:rPr>
          <w:rFonts w:ascii="Times New Roman" w:hAnsi="Times New Roman"/>
        </w:rPr>
        <w:t xml:space="preserve"> per definire le migliori strategie di mitigazione del rischio</w:t>
      </w:r>
      <w:r w:rsidRPr="006D4CB5">
        <w:rPr>
          <w:rFonts w:ascii="Times New Roman" w:hAnsi="Times New Roman"/>
        </w:rPr>
        <w:t xml:space="preserve">. </w:t>
      </w:r>
    </w:p>
    <w:p w:rsidR="00EB498B" w:rsidRPr="006D4CB5" w:rsidRDefault="007D0B46" w:rsidP="006D4CB5">
      <w:pPr>
        <w:spacing w:after="120" w:line="240" w:lineRule="auto"/>
        <w:rPr>
          <w:rFonts w:ascii="Times New Roman" w:hAnsi="Times New Roman"/>
        </w:rPr>
      </w:pPr>
      <w:r w:rsidRPr="006D4CB5">
        <w:rPr>
          <w:rFonts w:ascii="Times New Roman" w:hAnsi="Times New Roman"/>
        </w:rPr>
        <w:t xml:space="preserve">- </w:t>
      </w:r>
      <w:r w:rsidR="002B2DCE" w:rsidRPr="006D4CB5">
        <w:rPr>
          <w:rFonts w:ascii="Times New Roman" w:hAnsi="Times New Roman"/>
        </w:rPr>
        <w:t>saper leggere una etichetta,</w:t>
      </w:r>
      <w:r w:rsidR="00EB498B" w:rsidRPr="006D4CB5">
        <w:rPr>
          <w:rFonts w:ascii="Times New Roman" w:hAnsi="Times New Roman"/>
        </w:rPr>
        <w:t xml:space="preserve"> realizzare miscele</w:t>
      </w:r>
      <w:r w:rsidR="002B2DCE" w:rsidRPr="006D4CB5">
        <w:rPr>
          <w:rFonts w:ascii="Times New Roman" w:hAnsi="Times New Roman"/>
        </w:rPr>
        <w:t xml:space="preserve"> ed utilizzare strumenti di calcolo</w:t>
      </w:r>
      <w:r w:rsidR="00EB498B" w:rsidRPr="006D4CB5">
        <w:rPr>
          <w:rFonts w:ascii="Times New Roman" w:hAnsi="Times New Roman"/>
        </w:rPr>
        <w:t>;</w:t>
      </w:r>
    </w:p>
    <w:p w:rsidR="007D0B46" w:rsidRPr="006D4CB5" w:rsidRDefault="00EB498B" w:rsidP="006D4CB5">
      <w:pPr>
        <w:spacing w:after="120" w:line="240" w:lineRule="auto"/>
        <w:rPr>
          <w:rFonts w:ascii="Times New Roman" w:hAnsi="Times New Roman"/>
        </w:rPr>
      </w:pPr>
      <w:r w:rsidRPr="006D4CB5">
        <w:rPr>
          <w:rFonts w:ascii="Times New Roman" w:hAnsi="Times New Roman"/>
        </w:rPr>
        <w:t>- misurare la sostenibilità degli usi in aziende agricole zootecniche, viticole e orticole.</w:t>
      </w:r>
      <w:r w:rsidR="007D0B46" w:rsidRPr="006D4CB5">
        <w:rPr>
          <w:rFonts w:ascii="Times New Roman" w:hAnsi="Times New Roman"/>
        </w:rPr>
        <w:t xml:space="preserve"> </w:t>
      </w:r>
    </w:p>
    <w:p w:rsidR="00EB498B" w:rsidRPr="006D4CB5" w:rsidRDefault="00EB498B" w:rsidP="006D4CB5">
      <w:pPr>
        <w:tabs>
          <w:tab w:val="clear" w:pos="284"/>
        </w:tabs>
        <w:spacing w:after="120" w:line="240" w:lineRule="auto"/>
        <w:jc w:val="left"/>
        <w:rPr>
          <w:rFonts w:ascii="Times New Roman" w:hAnsi="Times New Roman"/>
          <w:b/>
          <w:i/>
        </w:rPr>
      </w:pPr>
      <w:r w:rsidRPr="006D4CB5">
        <w:rPr>
          <w:rFonts w:ascii="Times New Roman" w:hAnsi="Times New Roman"/>
          <w:b/>
          <w:i/>
        </w:rPr>
        <w:br w:type="page"/>
      </w:r>
    </w:p>
    <w:p w:rsidR="00E350F0" w:rsidRPr="006D4CB5" w:rsidRDefault="007D0B46" w:rsidP="006D4CB5">
      <w:pPr>
        <w:spacing w:after="120" w:line="240" w:lineRule="auto"/>
        <w:rPr>
          <w:rFonts w:ascii="Times New Roman" w:hAnsi="Times New Roman"/>
          <w:b/>
          <w:i/>
        </w:rPr>
      </w:pPr>
      <w:r w:rsidRPr="006D4CB5">
        <w:rPr>
          <w:rFonts w:ascii="Times New Roman" w:hAnsi="Times New Roman"/>
          <w:b/>
          <w:i/>
        </w:rPr>
        <w:lastRenderedPageBreak/>
        <w:t>PR</w:t>
      </w:r>
      <w:r w:rsidR="009C7E00" w:rsidRPr="006D4CB5">
        <w:rPr>
          <w:rFonts w:ascii="Times New Roman" w:hAnsi="Times New Roman"/>
          <w:b/>
          <w:i/>
        </w:rPr>
        <w:t>OGRAMMA DEL CORSO</w:t>
      </w:r>
    </w:p>
    <w:tbl>
      <w:tblPr>
        <w:tblW w:w="67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22"/>
        <w:gridCol w:w="483"/>
      </w:tblGrid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</w:tcPr>
          <w:p w:rsidR="009C7E00" w:rsidRPr="006D4CB5" w:rsidRDefault="009C7E00" w:rsidP="003C15D3">
            <w:pPr>
              <w:tabs>
                <w:tab w:val="clear" w:pos="284"/>
                <w:tab w:val="left" w:pos="255"/>
              </w:tabs>
              <w:spacing w:line="240" w:lineRule="auto"/>
              <w:ind w:left="-48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CF</w:t>
            </w:r>
          </w:p>
        </w:tc>
      </w:tr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D4CB5">
              <w:rPr>
                <w:rFonts w:ascii="Times New Roman" w:hAnsi="Times New Roman"/>
                <w:b/>
              </w:rPr>
              <w:t>Introduzione al corso e definizioni</w:t>
            </w:r>
          </w:p>
        </w:tc>
        <w:tc>
          <w:tcPr>
            <w:tcW w:w="483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9C7E00" w:rsidP="001D33C7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 xml:space="preserve">Introduzione al corso e definizione di </w:t>
            </w:r>
            <w:proofErr w:type="spellStart"/>
            <w:r w:rsidRPr="006D4CB5">
              <w:rPr>
                <w:rFonts w:ascii="Times New Roman" w:hAnsi="Times New Roman"/>
              </w:rPr>
              <w:t>agrofarmaci</w:t>
            </w:r>
            <w:proofErr w:type="spellEnd"/>
            <w:r w:rsidRPr="006D4CB5">
              <w:rPr>
                <w:rFonts w:ascii="Times New Roman" w:hAnsi="Times New Roman"/>
              </w:rPr>
              <w:t xml:space="preserve">, prodotti fitosanitari, pesticidi, biocidi, </w:t>
            </w:r>
            <w:r w:rsidR="001D33C7">
              <w:rPr>
                <w:rFonts w:ascii="Times New Roman" w:hAnsi="Times New Roman"/>
              </w:rPr>
              <w:t>fertilizzanti</w:t>
            </w:r>
            <w:r w:rsidRPr="006D4CB5">
              <w:rPr>
                <w:rFonts w:ascii="Times New Roman" w:hAnsi="Times New Roman"/>
              </w:rPr>
              <w:t xml:space="preserve">. Uso dei prodotti chimici e loro effetto sulla disponibilità alimentare e lo stato di salute delle popolazioni. </w:t>
            </w:r>
          </w:p>
        </w:tc>
        <w:tc>
          <w:tcPr>
            <w:tcW w:w="483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0.3</w:t>
            </w:r>
          </w:p>
        </w:tc>
      </w:tr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9C7E00" w:rsidP="001D33C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D4CB5">
              <w:rPr>
                <w:rFonts w:ascii="Times New Roman" w:hAnsi="Times New Roman"/>
                <w:b/>
              </w:rPr>
              <w:t>Produzioni e consumi di agro</w:t>
            </w:r>
            <w:r w:rsidR="001D33C7">
              <w:rPr>
                <w:rFonts w:ascii="Times New Roman" w:hAnsi="Times New Roman"/>
                <w:b/>
              </w:rPr>
              <w:t>chimici</w:t>
            </w:r>
          </w:p>
        </w:tc>
        <w:tc>
          <w:tcPr>
            <w:tcW w:w="483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Consumi mondiale e nazionale di prodotti fitosanitari e loro evoluzione negli anni.</w:t>
            </w:r>
          </w:p>
        </w:tc>
        <w:tc>
          <w:tcPr>
            <w:tcW w:w="483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0.1</w:t>
            </w:r>
          </w:p>
        </w:tc>
      </w:tr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9C7E00" w:rsidP="001D33C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D4CB5">
              <w:rPr>
                <w:rFonts w:ascii="Times New Roman" w:hAnsi="Times New Roman"/>
                <w:b/>
              </w:rPr>
              <w:t xml:space="preserve">Tossicologia degli </w:t>
            </w:r>
            <w:r w:rsidR="001D33C7">
              <w:rPr>
                <w:rFonts w:ascii="Times New Roman" w:hAnsi="Times New Roman"/>
                <w:b/>
              </w:rPr>
              <w:t>agrochimici</w:t>
            </w:r>
            <w:r w:rsidRPr="006D4CB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I fenomeni tossici. Tossicità acuta e a lungo termine e parametri per esprimerle. NOEL, ADI e RMA.</w:t>
            </w:r>
          </w:p>
        </w:tc>
        <w:tc>
          <w:tcPr>
            <w:tcW w:w="483" w:type="dxa"/>
            <w:shd w:val="clear" w:color="auto" w:fill="auto"/>
          </w:tcPr>
          <w:p w:rsidR="009C7E00" w:rsidRPr="006D4CB5" w:rsidRDefault="00EB28D6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0.3</w:t>
            </w:r>
          </w:p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D4CB5">
              <w:rPr>
                <w:rFonts w:ascii="Times New Roman" w:hAnsi="Times New Roman"/>
                <w:b/>
              </w:rPr>
              <w:t>Legislazione per la produzione, la commercializzazione e l’utilizzo</w:t>
            </w:r>
          </w:p>
        </w:tc>
        <w:tc>
          <w:tcPr>
            <w:tcW w:w="483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9C7E00" w:rsidP="001D33C7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Concetti fondamentali dei requisiti normativi per produzione, commercializzazione e applicazione.</w:t>
            </w:r>
          </w:p>
        </w:tc>
        <w:tc>
          <w:tcPr>
            <w:tcW w:w="483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0.3</w:t>
            </w:r>
          </w:p>
        </w:tc>
      </w:tr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9C7E00" w:rsidP="001D33C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D4CB5">
              <w:rPr>
                <w:rFonts w:ascii="Times New Roman" w:hAnsi="Times New Roman"/>
                <w:b/>
              </w:rPr>
              <w:t xml:space="preserve">Classificazione </w:t>
            </w:r>
          </w:p>
        </w:tc>
        <w:tc>
          <w:tcPr>
            <w:tcW w:w="483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Nomenclatura. Classificazione chimica e funzionale, di impiego, ecc.</w:t>
            </w:r>
          </w:p>
        </w:tc>
        <w:tc>
          <w:tcPr>
            <w:tcW w:w="483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0.3</w:t>
            </w:r>
          </w:p>
        </w:tc>
      </w:tr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D4CB5">
              <w:rPr>
                <w:rFonts w:ascii="Times New Roman" w:hAnsi="Times New Roman"/>
                <w:b/>
              </w:rPr>
              <w:t>Formulazioni</w:t>
            </w:r>
          </w:p>
        </w:tc>
        <w:tc>
          <w:tcPr>
            <w:tcW w:w="483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Caratteristiche delle superfici bersaglio, tipi di applicazione e caratteristiche chimico-fisiche delle formulazioni</w:t>
            </w:r>
          </w:p>
        </w:tc>
        <w:tc>
          <w:tcPr>
            <w:tcW w:w="483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0.3</w:t>
            </w:r>
          </w:p>
        </w:tc>
      </w:tr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9C7E00" w:rsidP="003C15D3">
            <w:pPr>
              <w:keepNext/>
              <w:keepLines/>
              <w:spacing w:line="240" w:lineRule="auto"/>
              <w:rPr>
                <w:rFonts w:ascii="Times New Roman" w:hAnsi="Times New Roman"/>
                <w:b/>
              </w:rPr>
            </w:pPr>
            <w:r w:rsidRPr="006D4CB5">
              <w:rPr>
                <w:rFonts w:ascii="Times New Roman" w:hAnsi="Times New Roman"/>
                <w:b/>
              </w:rPr>
              <w:t>Metabolismo e degradazione</w:t>
            </w:r>
          </w:p>
        </w:tc>
        <w:tc>
          <w:tcPr>
            <w:tcW w:w="483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9C7E00" w:rsidP="003C15D3">
            <w:pPr>
              <w:keepNext/>
              <w:keepLines/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 xml:space="preserve">Principi generali del metabolismo e della degradazione chimica. Comportamento di un </w:t>
            </w:r>
            <w:proofErr w:type="spellStart"/>
            <w:r w:rsidRPr="006D4CB5">
              <w:rPr>
                <w:rFonts w:ascii="Times New Roman" w:hAnsi="Times New Roman"/>
              </w:rPr>
              <w:t>agrofarmaco</w:t>
            </w:r>
            <w:proofErr w:type="spellEnd"/>
            <w:r w:rsidRPr="006D4CB5">
              <w:rPr>
                <w:rFonts w:ascii="Times New Roman" w:hAnsi="Times New Roman"/>
              </w:rPr>
              <w:t xml:space="preserve"> nel suolo (adsorbimento, mobilità, volatilizzazione, degradazione, ecc.) e dall'ambiente alla catena alimentare, all’alimento. Residui e metaboliti</w:t>
            </w:r>
          </w:p>
        </w:tc>
        <w:tc>
          <w:tcPr>
            <w:tcW w:w="483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0.</w:t>
            </w:r>
            <w:r w:rsidR="002B2DCE" w:rsidRPr="006D4CB5">
              <w:rPr>
                <w:rFonts w:ascii="Times New Roman" w:hAnsi="Times New Roman"/>
              </w:rPr>
              <w:t>4</w:t>
            </w:r>
          </w:p>
        </w:tc>
      </w:tr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1D33C7" w:rsidP="003C15D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Effetti </w:t>
            </w:r>
            <w:proofErr w:type="spellStart"/>
            <w:r>
              <w:rPr>
                <w:rFonts w:ascii="Times New Roman" w:hAnsi="Times New Roman"/>
                <w:b/>
              </w:rPr>
              <w:t>indesirati</w:t>
            </w:r>
            <w:proofErr w:type="spellEnd"/>
            <w:r>
              <w:rPr>
                <w:rFonts w:ascii="Times New Roman" w:hAnsi="Times New Roman"/>
                <w:b/>
              </w:rPr>
              <w:t xml:space="preserve"> e desiderati</w:t>
            </w:r>
          </w:p>
        </w:tc>
        <w:tc>
          <w:tcPr>
            <w:tcW w:w="483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D4CB5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6D4CB5" w:rsidRPr="006D4CB5" w:rsidRDefault="006D4CB5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Elementi generali di ecologia delle popolazioni, sistemica e funzionale.</w:t>
            </w:r>
          </w:p>
          <w:p w:rsidR="006D4CB5" w:rsidRPr="006D4CB5" w:rsidRDefault="006D4CB5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Lo studio degli effetti. Modalità d’azione dei potenziali tossici. Principali forme di esposizione degli organismi viventi. Meccanismi d’azione di alcuni tossici ambientali.</w:t>
            </w:r>
          </w:p>
          <w:p w:rsidR="006D4CB5" w:rsidRPr="006D4CB5" w:rsidRDefault="006D4CB5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 xml:space="preserve">Misura del danno mediante i test </w:t>
            </w:r>
            <w:proofErr w:type="spellStart"/>
            <w:r w:rsidRPr="006D4CB5">
              <w:rPr>
                <w:rFonts w:ascii="Times New Roman" w:hAnsi="Times New Roman"/>
              </w:rPr>
              <w:t>ecotossicologici</w:t>
            </w:r>
            <w:proofErr w:type="spellEnd"/>
            <w:r w:rsidRPr="006D4CB5">
              <w:rPr>
                <w:rFonts w:ascii="Times New Roman" w:hAnsi="Times New Roman"/>
              </w:rPr>
              <w:t xml:space="preserve"> (DL50, LC50, EC50, LT50, NOEL, LOEL).</w:t>
            </w:r>
          </w:p>
        </w:tc>
        <w:tc>
          <w:tcPr>
            <w:tcW w:w="483" w:type="dxa"/>
            <w:shd w:val="clear" w:color="auto" w:fill="auto"/>
          </w:tcPr>
          <w:p w:rsidR="006D4CB5" w:rsidRPr="006D4CB5" w:rsidRDefault="006D4CB5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1.0</w:t>
            </w:r>
          </w:p>
        </w:tc>
      </w:tr>
      <w:tr w:rsidR="006D4CB5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6D4CB5" w:rsidRPr="006D4CB5" w:rsidRDefault="00FB7938" w:rsidP="003C15D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 misura del danno. </w:t>
            </w:r>
            <w:r w:rsidR="006D4CB5" w:rsidRPr="006D4CB5">
              <w:rPr>
                <w:rFonts w:ascii="Times New Roman" w:hAnsi="Times New Roman"/>
              </w:rPr>
              <w:t xml:space="preserve">La previsione dell’esposizione e degli effetti. Proprietà chimico- fisiche dei potenziali tossici. I coefficienti di ripartizione ambientale.  I modelli valutativi. La fugacità. La previsione degli effetti mediante il QSAR. La teoria di </w:t>
            </w:r>
            <w:proofErr w:type="spellStart"/>
            <w:r w:rsidR="006D4CB5" w:rsidRPr="006D4CB5">
              <w:rPr>
                <w:rFonts w:ascii="Times New Roman" w:hAnsi="Times New Roman"/>
              </w:rPr>
              <w:t>Hansch</w:t>
            </w:r>
            <w:proofErr w:type="spellEnd"/>
            <w:r w:rsidR="006D4CB5" w:rsidRPr="006D4CB5">
              <w:rPr>
                <w:rFonts w:ascii="Times New Roman" w:hAnsi="Times New Roman"/>
              </w:rPr>
              <w:t>.</w:t>
            </w:r>
          </w:p>
          <w:p w:rsidR="006D4CB5" w:rsidRPr="006D4CB5" w:rsidRDefault="006D4CB5" w:rsidP="00FB7938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 xml:space="preserve">Il calcolo del rischio. L’approccio integrato per la stima del rischio. Sviluppo di indici di rischio per le valutazioni d’impatto ambientale. I dati richiesti per l’autorizzazione </w:t>
            </w:r>
            <w:r w:rsidR="00FB7938">
              <w:rPr>
                <w:rFonts w:ascii="Times New Roman" w:hAnsi="Times New Roman"/>
              </w:rPr>
              <w:t>e ‘uso sostenibile a livello nazionale ed europeo</w:t>
            </w:r>
            <w:r w:rsidRPr="006D4CB5">
              <w:rPr>
                <w:rFonts w:ascii="Times New Roman" w:hAnsi="Times New Roman"/>
              </w:rPr>
              <w:t>.</w:t>
            </w:r>
          </w:p>
        </w:tc>
        <w:tc>
          <w:tcPr>
            <w:tcW w:w="483" w:type="dxa"/>
            <w:shd w:val="clear" w:color="auto" w:fill="auto"/>
          </w:tcPr>
          <w:p w:rsidR="006D4CB5" w:rsidRPr="006D4CB5" w:rsidRDefault="006D4CB5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1.0</w:t>
            </w:r>
          </w:p>
          <w:p w:rsidR="006D4CB5" w:rsidRPr="006D4CB5" w:rsidRDefault="006D4CB5" w:rsidP="003C15D3">
            <w:pPr>
              <w:spacing w:line="240" w:lineRule="auto"/>
              <w:rPr>
                <w:rFonts w:ascii="Times New Roman" w:hAnsi="Times New Roman"/>
              </w:rPr>
            </w:pPr>
          </w:p>
          <w:p w:rsidR="006D4CB5" w:rsidRPr="006D4CB5" w:rsidRDefault="006D4CB5" w:rsidP="003C15D3">
            <w:pPr>
              <w:spacing w:line="240" w:lineRule="auto"/>
              <w:rPr>
                <w:rFonts w:ascii="Times New Roman" w:hAnsi="Times New Roman"/>
              </w:rPr>
            </w:pPr>
          </w:p>
          <w:p w:rsidR="006D4CB5" w:rsidRPr="006D4CB5" w:rsidRDefault="006D4CB5" w:rsidP="003C15D3">
            <w:pPr>
              <w:spacing w:line="240" w:lineRule="auto"/>
              <w:rPr>
                <w:rFonts w:ascii="Times New Roman" w:hAnsi="Times New Roman"/>
              </w:rPr>
            </w:pPr>
          </w:p>
          <w:p w:rsidR="006D4CB5" w:rsidRPr="006D4CB5" w:rsidRDefault="006D4CB5" w:rsidP="003C15D3">
            <w:pPr>
              <w:spacing w:line="240" w:lineRule="auto"/>
              <w:rPr>
                <w:rFonts w:ascii="Times New Roman" w:hAnsi="Times New Roman"/>
              </w:rPr>
            </w:pPr>
          </w:p>
          <w:p w:rsidR="006D4CB5" w:rsidRPr="006D4CB5" w:rsidRDefault="006D4CB5" w:rsidP="003C15D3">
            <w:pPr>
              <w:spacing w:line="240" w:lineRule="auto"/>
              <w:rPr>
                <w:rFonts w:ascii="Times New Roman" w:hAnsi="Times New Roman"/>
              </w:rPr>
            </w:pPr>
          </w:p>
          <w:p w:rsidR="006D4CB5" w:rsidRPr="006D4CB5" w:rsidRDefault="006D4CB5" w:rsidP="003C15D3">
            <w:pPr>
              <w:spacing w:line="240" w:lineRule="auto"/>
              <w:rPr>
                <w:rFonts w:ascii="Times New Roman" w:hAnsi="Times New Roman"/>
              </w:rPr>
            </w:pPr>
          </w:p>
          <w:p w:rsidR="006D4CB5" w:rsidRPr="006D4CB5" w:rsidRDefault="006D4CB5" w:rsidP="003C15D3">
            <w:pPr>
              <w:spacing w:line="240" w:lineRule="auto"/>
              <w:rPr>
                <w:rFonts w:ascii="Times New Roman" w:hAnsi="Times New Roman"/>
              </w:rPr>
            </w:pPr>
          </w:p>
          <w:p w:rsidR="006D4CB5" w:rsidRPr="006D4CB5" w:rsidRDefault="006D4CB5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1.0</w:t>
            </w:r>
          </w:p>
        </w:tc>
      </w:tr>
      <w:tr w:rsidR="006D4CB5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6D4CB5" w:rsidRPr="00572F7A" w:rsidRDefault="006D4CB5" w:rsidP="003C15D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72F7A">
              <w:rPr>
                <w:rFonts w:ascii="Times New Roman" w:hAnsi="Times New Roman"/>
                <w:b/>
              </w:rPr>
              <w:t>Seminari in aula con esperti su:</w:t>
            </w:r>
          </w:p>
          <w:p w:rsidR="006D4CB5" w:rsidRPr="006D4CB5" w:rsidRDefault="006D4CB5" w:rsidP="003C15D3">
            <w:pPr>
              <w:pStyle w:val="Paragrafoelenco"/>
              <w:numPr>
                <w:ilvl w:val="0"/>
                <w:numId w:val="4"/>
              </w:numPr>
              <w:tabs>
                <w:tab w:val="clear" w:pos="284"/>
                <w:tab w:val="left" w:pos="198"/>
              </w:tabs>
              <w:spacing w:line="240" w:lineRule="auto"/>
              <w:ind w:left="0" w:hanging="198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Uso di modelli QSAR e TDK per la previsione degli effetti: contaminanti organici ed inorganici.</w:t>
            </w:r>
          </w:p>
          <w:p w:rsidR="006D4CB5" w:rsidRPr="006D4CB5" w:rsidRDefault="006D4CB5" w:rsidP="003C15D3">
            <w:pPr>
              <w:pStyle w:val="Paragrafoelenco"/>
              <w:numPr>
                <w:ilvl w:val="0"/>
                <w:numId w:val="4"/>
              </w:numPr>
              <w:tabs>
                <w:tab w:val="clear" w:pos="284"/>
                <w:tab w:val="left" w:pos="198"/>
              </w:tabs>
              <w:spacing w:line="240" w:lineRule="auto"/>
              <w:ind w:left="0" w:hanging="198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lastRenderedPageBreak/>
              <w:t>Uso dei database e modelli EFSA per il calcolo del rischio alimentari pesticidi (modello PRIMO).</w:t>
            </w:r>
          </w:p>
          <w:p w:rsidR="006D4CB5" w:rsidRPr="00572F7A" w:rsidRDefault="006D4CB5" w:rsidP="003C15D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72F7A">
              <w:rPr>
                <w:rFonts w:ascii="Times New Roman" w:hAnsi="Times New Roman"/>
                <w:b/>
              </w:rPr>
              <w:t xml:space="preserve">Esercitazioni. </w:t>
            </w:r>
          </w:p>
          <w:p w:rsidR="006D4CB5" w:rsidRPr="006D4CB5" w:rsidRDefault="006D4CB5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 xml:space="preserve">Uso del modelli matematico QSAR e FOCUS per la valutazione dell’esposizione e degli effetti. Uso dei coefficienti di ripartizione, analisi stocastica, analisi tossico cinetica degli effetti. Casi studio in scenari reali per un </w:t>
            </w:r>
            <w:proofErr w:type="spellStart"/>
            <w:r w:rsidRPr="006D4CB5">
              <w:rPr>
                <w:rFonts w:ascii="Times New Roman" w:hAnsi="Times New Roman"/>
              </w:rPr>
              <w:t>agrofarmaco</w:t>
            </w:r>
            <w:proofErr w:type="spellEnd"/>
            <w:r w:rsidRPr="006D4CB5">
              <w:rPr>
                <w:rFonts w:ascii="Times New Roman" w:hAnsi="Times New Roman"/>
              </w:rPr>
              <w:t xml:space="preserve"> inorganico ed uno organico. Applicazione delle linee </w:t>
            </w:r>
            <w:proofErr w:type="spellStart"/>
            <w:r w:rsidRPr="006D4CB5">
              <w:rPr>
                <w:rFonts w:ascii="Times New Roman" w:hAnsi="Times New Roman"/>
              </w:rPr>
              <w:t>guidauso</w:t>
            </w:r>
            <w:proofErr w:type="spellEnd"/>
            <w:r w:rsidRPr="006D4CB5">
              <w:rPr>
                <w:rFonts w:ascii="Times New Roman" w:hAnsi="Times New Roman"/>
              </w:rPr>
              <w:t xml:space="preserve"> </w:t>
            </w:r>
            <w:proofErr w:type="spellStart"/>
            <w:r w:rsidRPr="006D4CB5">
              <w:rPr>
                <w:rFonts w:ascii="Times New Roman" w:hAnsi="Times New Roman"/>
              </w:rPr>
              <w:t>sotenibile</w:t>
            </w:r>
            <w:proofErr w:type="spellEnd"/>
            <w:r w:rsidRPr="006D4CB5">
              <w:rPr>
                <w:rFonts w:ascii="Times New Roman" w:hAnsi="Times New Roman"/>
              </w:rPr>
              <w:t xml:space="preserve"> in scenari agricoli. </w:t>
            </w:r>
          </w:p>
          <w:p w:rsidR="006D4CB5" w:rsidRPr="006D4CB5" w:rsidRDefault="006D4CB5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 xml:space="preserve">Una </w:t>
            </w:r>
            <w:r w:rsidRPr="00572F7A">
              <w:rPr>
                <w:rFonts w:ascii="Times New Roman" w:hAnsi="Times New Roman"/>
                <w:b/>
              </w:rPr>
              <w:t>uscita didattica</w:t>
            </w:r>
            <w:r w:rsidRPr="006D4CB5">
              <w:rPr>
                <w:rFonts w:ascii="Times New Roman" w:hAnsi="Times New Roman"/>
              </w:rPr>
              <w:t xml:space="preserve"> in azienda agricola con prova dimostrativa di uso, applicazione delle buone pratiche, misura dei dosaggi e mitigazione dei rischi </w:t>
            </w:r>
          </w:p>
        </w:tc>
        <w:tc>
          <w:tcPr>
            <w:tcW w:w="483" w:type="dxa"/>
            <w:shd w:val="clear" w:color="auto" w:fill="auto"/>
          </w:tcPr>
          <w:p w:rsidR="006D4CB5" w:rsidRPr="006D4CB5" w:rsidRDefault="006D4CB5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lastRenderedPageBreak/>
              <w:t>2.0</w:t>
            </w:r>
          </w:p>
        </w:tc>
      </w:tr>
      <w:tr w:rsidR="006D4CB5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6D4CB5" w:rsidRPr="006D4CB5" w:rsidRDefault="006D4CB5" w:rsidP="003C15D3">
            <w:pPr>
              <w:spacing w:line="240" w:lineRule="auto"/>
              <w:ind w:left="28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  <w:b/>
              </w:rPr>
              <w:t>Dove trovare le informazioni</w:t>
            </w:r>
          </w:p>
        </w:tc>
        <w:tc>
          <w:tcPr>
            <w:tcW w:w="483" w:type="dxa"/>
            <w:shd w:val="clear" w:color="auto" w:fill="auto"/>
          </w:tcPr>
          <w:p w:rsidR="006D4CB5" w:rsidRPr="006D4CB5" w:rsidRDefault="006D4CB5" w:rsidP="003C15D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ind w:left="28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 xml:space="preserve">Documentazione bibliografica sugli </w:t>
            </w:r>
            <w:proofErr w:type="spellStart"/>
            <w:r w:rsidRPr="006D4CB5">
              <w:rPr>
                <w:rFonts w:ascii="Times New Roman" w:hAnsi="Times New Roman"/>
              </w:rPr>
              <w:t>agrofarmaci</w:t>
            </w:r>
            <w:proofErr w:type="spellEnd"/>
            <w:r w:rsidRPr="006D4CB5">
              <w:rPr>
                <w:rFonts w:ascii="Times New Roman" w:hAnsi="Times New Roman"/>
              </w:rPr>
              <w:t>: dalle caratteristiche chimico fisiche, alla tossicologia, alla formulazione, alle dosi e modalità di utilizzo, ai residui nelle produzioni agricole e negli alimenti.</w:t>
            </w:r>
          </w:p>
        </w:tc>
        <w:tc>
          <w:tcPr>
            <w:tcW w:w="483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0.</w:t>
            </w:r>
            <w:r w:rsidR="002B2DCE" w:rsidRPr="006D4CB5">
              <w:rPr>
                <w:rFonts w:ascii="Times New Roman" w:hAnsi="Times New Roman"/>
              </w:rPr>
              <w:t>2</w:t>
            </w:r>
          </w:p>
        </w:tc>
      </w:tr>
      <w:tr w:rsidR="009C7E00" w:rsidRPr="006D4CB5" w:rsidTr="006D4CB5">
        <w:trPr>
          <w:trHeight w:val="16"/>
        </w:trPr>
        <w:tc>
          <w:tcPr>
            <w:tcW w:w="6222" w:type="dxa"/>
            <w:shd w:val="clear" w:color="auto" w:fill="auto"/>
          </w:tcPr>
          <w:p w:rsidR="009C7E00" w:rsidRPr="006D4CB5" w:rsidRDefault="009C7E00" w:rsidP="003C15D3">
            <w:pPr>
              <w:spacing w:line="240" w:lineRule="auto"/>
              <w:ind w:left="28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Considerazioni generali, selettività, classificazione, caratteristiche chimico fisiche, uso, modo d'azione, meccanismo d'azione, tossicologia, fenomeni di resistenza indotta, degradazione, impatto ambientale, ecc.</w:t>
            </w:r>
          </w:p>
        </w:tc>
        <w:tc>
          <w:tcPr>
            <w:tcW w:w="483" w:type="dxa"/>
            <w:shd w:val="clear" w:color="auto" w:fill="auto"/>
          </w:tcPr>
          <w:p w:rsidR="009C7E00" w:rsidRPr="006D4CB5" w:rsidRDefault="002B2DCE" w:rsidP="003C15D3">
            <w:pPr>
              <w:spacing w:line="240" w:lineRule="auto"/>
              <w:rPr>
                <w:rFonts w:ascii="Times New Roman" w:hAnsi="Times New Roman"/>
              </w:rPr>
            </w:pPr>
            <w:r w:rsidRPr="006D4CB5">
              <w:rPr>
                <w:rFonts w:ascii="Times New Roman" w:hAnsi="Times New Roman"/>
              </w:rPr>
              <w:t>1</w:t>
            </w:r>
            <w:r w:rsidR="006D4CB5">
              <w:rPr>
                <w:rFonts w:ascii="Times New Roman" w:hAnsi="Times New Roman"/>
              </w:rPr>
              <w:t>.</w:t>
            </w:r>
            <w:r w:rsidRPr="006D4CB5">
              <w:rPr>
                <w:rFonts w:ascii="Times New Roman" w:hAnsi="Times New Roman"/>
              </w:rPr>
              <w:t>8</w:t>
            </w:r>
          </w:p>
        </w:tc>
      </w:tr>
    </w:tbl>
    <w:p w:rsidR="006D4CB5" w:rsidRDefault="006D4CB5" w:rsidP="006D4CB5">
      <w:pPr>
        <w:keepNext/>
        <w:spacing w:after="120" w:line="240" w:lineRule="auto"/>
        <w:rPr>
          <w:rFonts w:ascii="Times New Roman" w:hAnsi="Times New Roman"/>
          <w:b/>
          <w:i/>
        </w:rPr>
      </w:pPr>
    </w:p>
    <w:p w:rsidR="009C7E00" w:rsidRPr="006D4CB5" w:rsidRDefault="009C7E00" w:rsidP="006D4CB5">
      <w:pPr>
        <w:keepNext/>
        <w:spacing w:after="120" w:line="240" w:lineRule="auto"/>
        <w:rPr>
          <w:rFonts w:ascii="Times New Roman" w:hAnsi="Times New Roman"/>
          <w:b/>
        </w:rPr>
      </w:pPr>
      <w:r w:rsidRPr="006D4CB5">
        <w:rPr>
          <w:rFonts w:ascii="Times New Roman" w:hAnsi="Times New Roman"/>
          <w:b/>
          <w:i/>
        </w:rPr>
        <w:t>BIBLIOGRAFIA</w:t>
      </w:r>
    </w:p>
    <w:p w:rsidR="009C7E00" w:rsidRPr="006D4CB5" w:rsidRDefault="009C7E00" w:rsidP="006D4CB5">
      <w:pPr>
        <w:spacing w:after="120" w:line="240" w:lineRule="auto"/>
        <w:rPr>
          <w:rFonts w:ascii="Times New Roman" w:hAnsi="Times New Roman"/>
          <w:spacing w:val="-5"/>
        </w:rPr>
      </w:pPr>
      <w:r w:rsidRPr="006D4CB5">
        <w:rPr>
          <w:rFonts w:ascii="Times New Roman" w:hAnsi="Times New Roman"/>
          <w:spacing w:val="-5"/>
        </w:rPr>
        <w:t>Testi adottati</w:t>
      </w:r>
    </w:p>
    <w:p w:rsidR="00FB7938" w:rsidRDefault="009C7E00" w:rsidP="00FB793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mallCaps/>
          <w:spacing w:val="-5"/>
        </w:rPr>
      </w:pPr>
      <w:r w:rsidRPr="006D4CB5">
        <w:rPr>
          <w:rFonts w:ascii="Times New Roman" w:hAnsi="Times New Roman"/>
          <w:smallCaps/>
          <w:spacing w:val="-5"/>
        </w:rPr>
        <w:t xml:space="preserve">M. Gennari, M. Trevisan – </w:t>
      </w:r>
      <w:r w:rsidRPr="006D4CB5">
        <w:rPr>
          <w:rFonts w:ascii="Times New Roman" w:hAnsi="Times New Roman"/>
          <w:i/>
          <w:spacing w:val="-5"/>
        </w:rPr>
        <w:t>Agrofarmaci</w:t>
      </w:r>
      <w:r w:rsidRPr="006D4CB5">
        <w:rPr>
          <w:rFonts w:ascii="Times New Roman" w:hAnsi="Times New Roman"/>
          <w:smallCaps/>
          <w:spacing w:val="-5"/>
        </w:rPr>
        <w:t xml:space="preserve"> – </w:t>
      </w:r>
      <w:r w:rsidRPr="006D4CB5">
        <w:rPr>
          <w:rFonts w:ascii="Times New Roman" w:hAnsi="Times New Roman"/>
          <w:i/>
          <w:spacing w:val="-5"/>
        </w:rPr>
        <w:t>Conoscenze per un uso sostenibile</w:t>
      </w:r>
      <w:r w:rsidRPr="006D4CB5">
        <w:rPr>
          <w:rFonts w:ascii="Times New Roman" w:hAnsi="Times New Roman"/>
          <w:smallCaps/>
          <w:spacing w:val="-5"/>
        </w:rPr>
        <w:t xml:space="preserve"> – </w:t>
      </w:r>
      <w:r w:rsidRPr="006D4CB5">
        <w:rPr>
          <w:rFonts w:ascii="Times New Roman" w:hAnsi="Times New Roman"/>
          <w:spacing w:val="-5"/>
        </w:rPr>
        <w:t xml:space="preserve">Gruppo </w:t>
      </w:r>
      <w:proofErr w:type="spellStart"/>
      <w:r w:rsidRPr="006D4CB5">
        <w:rPr>
          <w:rFonts w:ascii="Times New Roman" w:hAnsi="Times New Roman"/>
          <w:spacing w:val="-5"/>
        </w:rPr>
        <w:t>Perdisa</w:t>
      </w:r>
      <w:proofErr w:type="spellEnd"/>
      <w:r w:rsidRPr="006D4CB5">
        <w:rPr>
          <w:rFonts w:ascii="Times New Roman" w:hAnsi="Times New Roman"/>
          <w:spacing w:val="-5"/>
        </w:rPr>
        <w:t xml:space="preserve"> Editore, Bologna, 2008</w:t>
      </w:r>
    </w:p>
    <w:p w:rsidR="009C7E00" w:rsidRPr="00FB7938" w:rsidRDefault="00FB7938" w:rsidP="00FB7938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mallCaps/>
          <w:spacing w:val="-5"/>
        </w:rPr>
      </w:pPr>
      <w:r w:rsidRPr="00FB7938">
        <w:rPr>
          <w:rFonts w:ascii="Times New Roman" w:hAnsi="Times New Roman"/>
          <w:smallCaps/>
          <w:spacing w:val="-5"/>
        </w:rPr>
        <w:t xml:space="preserve">P.VIOLANTE </w:t>
      </w:r>
      <w:r w:rsidRPr="00FB7938">
        <w:rPr>
          <w:rFonts w:ascii="Times New Roman" w:hAnsi="Times New Roman"/>
          <w:i/>
          <w:spacing w:val="-5"/>
        </w:rPr>
        <w:t>Chimica e fertilità del suolo</w:t>
      </w:r>
      <w:r w:rsidR="009C7E00" w:rsidRPr="00FB7938">
        <w:rPr>
          <w:rFonts w:ascii="Times New Roman" w:hAnsi="Times New Roman"/>
          <w:smallCaps/>
          <w:spacing w:val="-5"/>
        </w:rPr>
        <w:t xml:space="preserve">. </w:t>
      </w:r>
      <w:r>
        <w:rPr>
          <w:rFonts w:ascii="Times New Roman" w:hAnsi="Times New Roman"/>
          <w:smallCaps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5"/>
        </w:rPr>
        <w:t>Edagricole</w:t>
      </w:r>
      <w:proofErr w:type="spellEnd"/>
      <w:r>
        <w:rPr>
          <w:rFonts w:ascii="Times New Roman" w:hAnsi="Times New Roman"/>
          <w:spacing w:val="-5"/>
        </w:rPr>
        <w:t xml:space="preserve">, </w:t>
      </w:r>
      <w:bookmarkStart w:id="0" w:name="_GoBack"/>
      <w:bookmarkEnd w:id="0"/>
    </w:p>
    <w:p w:rsidR="006D4CB5" w:rsidRPr="00572F7A" w:rsidRDefault="006D4CB5" w:rsidP="006D4CB5">
      <w:pPr>
        <w:spacing w:after="120" w:line="240" w:lineRule="auto"/>
        <w:rPr>
          <w:rFonts w:ascii="Times New Roman" w:hAnsi="Times New Roman"/>
          <w:b/>
          <w:i/>
          <w:lang w:val="en-US"/>
        </w:rPr>
      </w:pPr>
    </w:p>
    <w:p w:rsidR="00E350F0" w:rsidRPr="006D4CB5" w:rsidRDefault="00E350F0" w:rsidP="006D4CB5">
      <w:pPr>
        <w:spacing w:after="120" w:line="240" w:lineRule="auto"/>
        <w:rPr>
          <w:rFonts w:ascii="Times New Roman" w:hAnsi="Times New Roman"/>
          <w:b/>
          <w:i/>
        </w:rPr>
      </w:pPr>
      <w:r w:rsidRPr="006D4CB5">
        <w:rPr>
          <w:rFonts w:ascii="Times New Roman" w:hAnsi="Times New Roman"/>
          <w:b/>
          <w:i/>
        </w:rPr>
        <w:t>DIDATTICA DEL CORSO</w:t>
      </w:r>
    </w:p>
    <w:p w:rsidR="00E350F0" w:rsidRPr="006D4CB5" w:rsidRDefault="00E350F0" w:rsidP="006D4CB5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6D4CB5">
        <w:rPr>
          <w:rFonts w:ascii="Times New Roman" w:hAnsi="Times New Roman"/>
          <w:sz w:val="20"/>
        </w:rPr>
        <w:t xml:space="preserve">Lezioni teoriche frontali dove verranno trattati i temi generali del corso. </w:t>
      </w:r>
    </w:p>
    <w:p w:rsidR="00E350F0" w:rsidRPr="006D4CB5" w:rsidRDefault="00E350F0" w:rsidP="006D4CB5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6D4CB5">
        <w:rPr>
          <w:rFonts w:ascii="Times New Roman" w:hAnsi="Times New Roman"/>
          <w:sz w:val="20"/>
        </w:rPr>
        <w:t>Esercitazioni al computer dove saranno utilizzati strumenti di calcolo ed effettuati esercizi.</w:t>
      </w:r>
    </w:p>
    <w:p w:rsidR="00E350F0" w:rsidRPr="006D4CB5" w:rsidRDefault="00E350F0" w:rsidP="006D4CB5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6D4CB5">
        <w:rPr>
          <w:rFonts w:ascii="Times New Roman" w:hAnsi="Times New Roman"/>
          <w:sz w:val="20"/>
        </w:rPr>
        <w:t xml:space="preserve">Seminari svolti in aula con esperti. </w:t>
      </w:r>
    </w:p>
    <w:p w:rsidR="00E210AA" w:rsidRPr="006D4CB5" w:rsidRDefault="00E350F0" w:rsidP="006D4CB5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6D4CB5">
        <w:rPr>
          <w:rFonts w:ascii="Times New Roman" w:hAnsi="Times New Roman"/>
          <w:sz w:val="20"/>
        </w:rPr>
        <w:t>Uscite didattiche presso r</w:t>
      </w:r>
      <w:r w:rsidR="00E210AA" w:rsidRPr="006D4CB5">
        <w:rPr>
          <w:rFonts w:ascii="Times New Roman" w:hAnsi="Times New Roman"/>
          <w:sz w:val="20"/>
        </w:rPr>
        <w:t>aziende agricole durante le fasi di preparazione miscele ed applicazioni in campo.</w:t>
      </w:r>
    </w:p>
    <w:p w:rsidR="006D4CB5" w:rsidRPr="006D4CB5" w:rsidRDefault="00E350F0" w:rsidP="006D4CB5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6D4CB5">
        <w:rPr>
          <w:rFonts w:ascii="Times New Roman" w:hAnsi="Times New Roman"/>
          <w:sz w:val="20"/>
        </w:rPr>
        <w:t>Tutto il materiale presentato nel corso delle lezioni sarà a disposizione degli studenti e su Blackboard.</w:t>
      </w:r>
    </w:p>
    <w:p w:rsidR="006D4CB5" w:rsidRDefault="006D4CB5" w:rsidP="006D4CB5">
      <w:pPr>
        <w:spacing w:after="120" w:line="240" w:lineRule="auto"/>
        <w:rPr>
          <w:rFonts w:ascii="Times New Roman" w:hAnsi="Times New Roman"/>
          <w:b/>
          <w:i/>
        </w:rPr>
      </w:pPr>
    </w:p>
    <w:p w:rsidR="00E210AA" w:rsidRPr="006D4CB5" w:rsidRDefault="00E210AA" w:rsidP="006D4CB5">
      <w:pPr>
        <w:spacing w:after="120" w:line="240" w:lineRule="auto"/>
        <w:rPr>
          <w:rFonts w:ascii="Times New Roman" w:hAnsi="Times New Roman"/>
          <w:b/>
          <w:i/>
        </w:rPr>
      </w:pPr>
      <w:r w:rsidRPr="006D4CB5">
        <w:rPr>
          <w:rFonts w:ascii="Times New Roman" w:hAnsi="Times New Roman"/>
          <w:b/>
          <w:i/>
        </w:rPr>
        <w:t>METODO DI VALUTAZIONE</w:t>
      </w:r>
    </w:p>
    <w:p w:rsidR="00E210AA" w:rsidRPr="006D4CB5" w:rsidRDefault="00E210AA" w:rsidP="006D4CB5">
      <w:pPr>
        <w:pStyle w:val="Default"/>
        <w:spacing w:after="120"/>
        <w:jc w:val="both"/>
        <w:rPr>
          <w:rFonts w:ascii="Times New Roman" w:eastAsia="Times New Roman" w:hAnsi="Times New Roman"/>
          <w:noProof/>
          <w:color w:val="auto"/>
          <w:sz w:val="20"/>
          <w:szCs w:val="20"/>
        </w:rPr>
      </w:pPr>
      <w:r w:rsidRPr="006D4CB5">
        <w:rPr>
          <w:rFonts w:ascii="Times New Roman" w:eastAsia="Times New Roman" w:hAnsi="Times New Roman"/>
          <w:noProof/>
          <w:color w:val="auto"/>
          <w:sz w:val="20"/>
          <w:szCs w:val="20"/>
        </w:rPr>
        <w:t>L’esame è scritto (risultati delle prove di esercitazione) ed orale.</w:t>
      </w:r>
    </w:p>
    <w:p w:rsidR="00E210AA" w:rsidRPr="006D4CB5" w:rsidRDefault="00E210AA" w:rsidP="006D4CB5">
      <w:pPr>
        <w:pStyle w:val="Default"/>
        <w:spacing w:after="120"/>
        <w:jc w:val="both"/>
        <w:rPr>
          <w:rFonts w:ascii="Times New Roman" w:eastAsia="Times New Roman" w:hAnsi="Times New Roman"/>
          <w:noProof/>
          <w:color w:val="auto"/>
          <w:sz w:val="20"/>
          <w:szCs w:val="20"/>
        </w:rPr>
      </w:pPr>
      <w:r w:rsidRPr="006D4CB5">
        <w:rPr>
          <w:rFonts w:ascii="Times New Roman" w:eastAsia="Times New Roman" w:hAnsi="Times New Roman"/>
          <w:noProof/>
          <w:color w:val="auto"/>
          <w:sz w:val="20"/>
          <w:szCs w:val="20"/>
        </w:rPr>
        <w:lastRenderedPageBreak/>
        <w:t>La prova scritta è volta ad accertare l’abilità di calcolo e la comprensione delle procedure logiche di analisi dei dati. Si tratta pertanto di una valutazione di apprendimento che è realizzata attraverso l’esecuzione di esercizi al computer. Gli studenti hanno a disponzione almeno 30’ per esercizio e per un numero massimo i 3 esercizi. La valutazione finale è di massimo 3/30.</w:t>
      </w:r>
    </w:p>
    <w:p w:rsidR="00E210AA" w:rsidRPr="006D4CB5" w:rsidRDefault="00E210AA" w:rsidP="006D4CB5">
      <w:pPr>
        <w:pStyle w:val="Default"/>
        <w:spacing w:after="120"/>
        <w:jc w:val="both"/>
        <w:rPr>
          <w:rFonts w:ascii="Times New Roman" w:eastAsia="Times New Roman" w:hAnsi="Times New Roman"/>
          <w:noProof/>
          <w:color w:val="auto"/>
          <w:sz w:val="20"/>
          <w:szCs w:val="20"/>
        </w:rPr>
      </w:pPr>
      <w:r w:rsidRPr="006D4CB5">
        <w:rPr>
          <w:rFonts w:ascii="Times New Roman" w:eastAsia="Times New Roman" w:hAnsi="Times New Roman"/>
          <w:noProof/>
          <w:color w:val="auto"/>
          <w:sz w:val="20"/>
          <w:szCs w:val="20"/>
        </w:rPr>
        <w:t xml:space="preserve">La prova orale prevede una presentazione audiovisiva che consiste nella discussione di un progetto di valutazione del rischio di un contaminante in una filiera agro-alimentare. </w:t>
      </w:r>
    </w:p>
    <w:p w:rsidR="00E210AA" w:rsidRPr="006D4CB5" w:rsidRDefault="00E210AA" w:rsidP="006D4CB5">
      <w:pPr>
        <w:pStyle w:val="Default"/>
        <w:spacing w:after="120"/>
        <w:jc w:val="both"/>
        <w:rPr>
          <w:rFonts w:ascii="Times New Roman" w:eastAsia="Times New Roman" w:hAnsi="Times New Roman"/>
          <w:noProof/>
          <w:color w:val="auto"/>
          <w:sz w:val="20"/>
          <w:szCs w:val="20"/>
        </w:rPr>
      </w:pPr>
      <w:r w:rsidRPr="006D4CB5">
        <w:rPr>
          <w:rFonts w:ascii="Times New Roman" w:eastAsia="Times New Roman" w:hAnsi="Times New Roman"/>
          <w:noProof/>
          <w:color w:val="auto"/>
          <w:sz w:val="20"/>
          <w:szCs w:val="20"/>
        </w:rPr>
        <w:t>Per gli studenti che hanno frequentato e partecipato a tutte le attività del corso la prova orale verterà solo sul contenuto del progetto ed ala sua discussione. Gli studenti che non hanno frequentato il corso e non hanno partecipato alle esercitazioni la prova orale verterà su tutto il programma, incluso quello delle esercitazioni. La valutazione finale è di massimo 27/30.</w:t>
      </w:r>
    </w:p>
    <w:p w:rsidR="00E210AA" w:rsidRPr="006D4CB5" w:rsidRDefault="00E210AA" w:rsidP="006D4CB5">
      <w:pPr>
        <w:pStyle w:val="Default"/>
        <w:spacing w:after="120"/>
        <w:jc w:val="both"/>
        <w:rPr>
          <w:rFonts w:ascii="Times New Roman" w:eastAsia="Times New Roman" w:hAnsi="Times New Roman"/>
          <w:noProof/>
          <w:color w:val="auto"/>
          <w:sz w:val="20"/>
          <w:szCs w:val="20"/>
        </w:rPr>
      </w:pPr>
      <w:r w:rsidRPr="006D4CB5">
        <w:rPr>
          <w:rFonts w:ascii="Times New Roman" w:eastAsia="Times New Roman" w:hAnsi="Times New Roman"/>
          <w:noProof/>
          <w:color w:val="auto"/>
          <w:sz w:val="20"/>
          <w:szCs w:val="20"/>
        </w:rPr>
        <w:t>La partecipazione alle uscite didattiche ed alle attività seminariali è consigliata e costituisce un elemeno oggettivo per il raggiungimento della lode.</w:t>
      </w:r>
    </w:p>
    <w:p w:rsidR="006D4CB5" w:rsidRDefault="006D4CB5" w:rsidP="006D4CB5">
      <w:pPr>
        <w:spacing w:after="120" w:line="240" w:lineRule="auto"/>
        <w:rPr>
          <w:rFonts w:ascii="Times New Roman" w:hAnsi="Times New Roman"/>
          <w:b/>
          <w:i/>
        </w:rPr>
      </w:pPr>
    </w:p>
    <w:p w:rsidR="00E210AA" w:rsidRPr="006D4CB5" w:rsidRDefault="00E210AA" w:rsidP="006D4CB5">
      <w:pPr>
        <w:spacing w:after="120" w:line="240" w:lineRule="auto"/>
        <w:rPr>
          <w:rFonts w:ascii="Times New Roman" w:hAnsi="Times New Roman"/>
          <w:b/>
          <w:i/>
        </w:rPr>
      </w:pPr>
      <w:r w:rsidRPr="006D4CB5">
        <w:rPr>
          <w:rFonts w:ascii="Times New Roman" w:hAnsi="Times New Roman"/>
          <w:b/>
          <w:i/>
        </w:rPr>
        <w:t>AVVERTENZE</w:t>
      </w:r>
    </w:p>
    <w:p w:rsidR="00E210AA" w:rsidRPr="006D4CB5" w:rsidRDefault="00E210AA" w:rsidP="006D4CB5">
      <w:pPr>
        <w:pStyle w:val="Titolo2"/>
        <w:spacing w:after="120" w:line="240" w:lineRule="auto"/>
        <w:jc w:val="both"/>
        <w:rPr>
          <w:rFonts w:ascii="Times New Roman" w:hAnsi="Times New Roman"/>
          <w:b/>
          <w:i/>
          <w:smallCaps w:val="0"/>
          <w:sz w:val="20"/>
        </w:rPr>
      </w:pPr>
      <w:r w:rsidRPr="006D4CB5">
        <w:rPr>
          <w:rFonts w:ascii="Times New Roman" w:hAnsi="Times New Roman"/>
          <w:smallCaps w:val="0"/>
          <w:sz w:val="20"/>
        </w:rPr>
        <w:t>La partecipazione alle esercitazioni di laboratorio alle uscite didattiche ed ai seminari è fortemente consigliata.</w:t>
      </w:r>
    </w:p>
    <w:p w:rsidR="004040F0" w:rsidRPr="00C7563F" w:rsidRDefault="004040F0" w:rsidP="004040F0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:rsidR="00E210AA" w:rsidRPr="006D4CB5" w:rsidRDefault="00E210AA" w:rsidP="006D4CB5">
      <w:pPr>
        <w:pStyle w:val="Titolo2"/>
        <w:spacing w:after="120" w:line="240" w:lineRule="auto"/>
        <w:jc w:val="both"/>
        <w:rPr>
          <w:rFonts w:ascii="Times New Roman" w:hAnsi="Times New Roman"/>
          <w:b/>
          <w:i/>
          <w:sz w:val="20"/>
        </w:rPr>
      </w:pPr>
    </w:p>
    <w:p w:rsidR="00E210AA" w:rsidRPr="006D4CB5" w:rsidRDefault="00E210AA" w:rsidP="006D4CB5">
      <w:pPr>
        <w:pStyle w:val="Titolo2"/>
        <w:spacing w:after="120" w:line="240" w:lineRule="auto"/>
        <w:jc w:val="both"/>
        <w:rPr>
          <w:rFonts w:ascii="Times New Roman" w:hAnsi="Times New Roman"/>
          <w:b/>
          <w:i/>
          <w:sz w:val="20"/>
        </w:rPr>
      </w:pPr>
      <w:r w:rsidRPr="006D4CB5">
        <w:rPr>
          <w:rFonts w:ascii="Times New Roman" w:hAnsi="Times New Roman"/>
          <w:b/>
          <w:i/>
          <w:sz w:val="20"/>
        </w:rPr>
        <w:t>ORARIO E LUOGO DI RICEVIMENTO DEGLI STUDENTI</w:t>
      </w:r>
    </w:p>
    <w:p w:rsidR="002A63CF" w:rsidRPr="006D4CB5" w:rsidRDefault="00E210AA" w:rsidP="006D4CB5">
      <w:pPr>
        <w:spacing w:after="120" w:line="240" w:lineRule="auto"/>
        <w:rPr>
          <w:rFonts w:ascii="Times New Roman" w:hAnsi="Times New Roman"/>
          <w:noProof/>
        </w:rPr>
      </w:pPr>
      <w:r w:rsidRPr="006D4CB5">
        <w:rPr>
          <w:rFonts w:ascii="Times New Roman" w:hAnsi="Times New Roman"/>
          <w:noProof/>
        </w:rPr>
        <w:t>Il Prof. Capri riceve gli studenti dopo le lezioni e su appuntamento nel suo studio.</w:t>
      </w:r>
    </w:p>
    <w:sectPr w:rsidR="002A63CF" w:rsidRPr="006D4CB5" w:rsidSect="003C15D3">
      <w:pgSz w:w="11906" w:h="16838" w:code="9"/>
      <w:pgMar w:top="2563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3692"/>
    <w:multiLevelType w:val="hybridMultilevel"/>
    <w:tmpl w:val="7F101926"/>
    <w:lvl w:ilvl="0" w:tplc="04100001">
      <w:start w:val="1"/>
      <w:numFmt w:val="bullet"/>
      <w:lvlText w:val=""/>
      <w:lvlJc w:val="left"/>
      <w:pPr>
        <w:tabs>
          <w:tab w:val="num" w:pos="170"/>
        </w:tabs>
        <w:ind w:left="283" w:hanging="28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1" w15:restartNumberingAfterBreak="0">
    <w:nsid w:val="2896317C"/>
    <w:multiLevelType w:val="hybridMultilevel"/>
    <w:tmpl w:val="54940E1C"/>
    <w:lvl w:ilvl="0" w:tplc="DEA4F364">
      <w:numFmt w:val="bullet"/>
      <w:lvlText w:val="-"/>
      <w:lvlJc w:val="left"/>
      <w:pPr>
        <w:ind w:left="720" w:hanging="360"/>
      </w:pPr>
      <w:rPr>
        <w:rFonts w:ascii="Times" w:eastAsia="Times New Roman" w:hAnsi="Times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27F7"/>
    <w:multiLevelType w:val="hybridMultilevel"/>
    <w:tmpl w:val="AB9E5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44188"/>
    <w:multiLevelType w:val="hybridMultilevel"/>
    <w:tmpl w:val="73005CCE"/>
    <w:lvl w:ilvl="0" w:tplc="DDAE17B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7B"/>
    <w:rsid w:val="00094F40"/>
    <w:rsid w:val="000A7FE5"/>
    <w:rsid w:val="00186D31"/>
    <w:rsid w:val="001C71C1"/>
    <w:rsid w:val="001D33C7"/>
    <w:rsid w:val="00213904"/>
    <w:rsid w:val="002A63CF"/>
    <w:rsid w:val="002B2DCE"/>
    <w:rsid w:val="002B717F"/>
    <w:rsid w:val="00347F2E"/>
    <w:rsid w:val="003C15D3"/>
    <w:rsid w:val="003C2CDF"/>
    <w:rsid w:val="004040F0"/>
    <w:rsid w:val="0042209E"/>
    <w:rsid w:val="00486739"/>
    <w:rsid w:val="00572F7A"/>
    <w:rsid w:val="0062167B"/>
    <w:rsid w:val="006D4CB5"/>
    <w:rsid w:val="00743E0E"/>
    <w:rsid w:val="00744BC0"/>
    <w:rsid w:val="007D0B46"/>
    <w:rsid w:val="007F2DF1"/>
    <w:rsid w:val="00975832"/>
    <w:rsid w:val="009B43C5"/>
    <w:rsid w:val="009C7E00"/>
    <w:rsid w:val="00A41DAA"/>
    <w:rsid w:val="00B16CEB"/>
    <w:rsid w:val="00B7069F"/>
    <w:rsid w:val="00B76AA5"/>
    <w:rsid w:val="00C25A31"/>
    <w:rsid w:val="00C636BD"/>
    <w:rsid w:val="00CA1D36"/>
    <w:rsid w:val="00D17265"/>
    <w:rsid w:val="00D90B2E"/>
    <w:rsid w:val="00DE01D4"/>
    <w:rsid w:val="00DE14F6"/>
    <w:rsid w:val="00DF56EC"/>
    <w:rsid w:val="00E210AA"/>
    <w:rsid w:val="00E31B8B"/>
    <w:rsid w:val="00E350F0"/>
    <w:rsid w:val="00EB28D6"/>
    <w:rsid w:val="00EB498B"/>
    <w:rsid w:val="00F41677"/>
    <w:rsid w:val="00F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F199"/>
  <w15:docId w15:val="{2C710FF8-F0C1-4E7E-9DAF-D39C2F41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C636BD"/>
    <w:pPr>
      <w:tabs>
        <w:tab w:val="clear" w:pos="284"/>
      </w:tabs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C7E0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2209E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42209E"/>
    <w:rPr>
      <w:rFonts w:ascii="Times" w:hAnsi="Times"/>
      <w:smallCaps/>
      <w:noProof/>
      <w:sz w:val="18"/>
    </w:rPr>
  </w:style>
  <w:style w:type="paragraph" w:customStyle="1" w:styleId="Default">
    <w:name w:val="Default"/>
    <w:basedOn w:val="Normale"/>
    <w:uiPriority w:val="99"/>
    <w:rsid w:val="00B16CEB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</w:rPr>
  </w:style>
  <w:style w:type="character" w:customStyle="1" w:styleId="a-size-extra-large">
    <w:name w:val="a-size-extra-large"/>
    <w:basedOn w:val="Carpredefinitoparagrafo"/>
    <w:rsid w:val="00FB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3397-94FC-467E-83CA-AD76B287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0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Capri Ettore</cp:lastModifiedBy>
  <cp:revision>2</cp:revision>
  <cp:lastPrinted>2003-03-27T09:42:00Z</cp:lastPrinted>
  <dcterms:created xsi:type="dcterms:W3CDTF">2021-07-19T11:59:00Z</dcterms:created>
  <dcterms:modified xsi:type="dcterms:W3CDTF">2021-07-19T11:59:00Z</dcterms:modified>
</cp:coreProperties>
</file>