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CFB9" w14:textId="7F3CD71D" w:rsidR="000D58B6" w:rsidRPr="00732A3E" w:rsidRDefault="00122E7A" w:rsidP="00122E7A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-. </w:t>
      </w:r>
      <w:r w:rsidR="00732A3E" w:rsidRPr="00732A3E">
        <w:rPr>
          <w:rFonts w:ascii="Times New Roman" w:hAnsi="Times New Roman" w:cs="Times New Roman"/>
          <w:b/>
          <w:bCs/>
          <w:sz w:val="20"/>
          <w:szCs w:val="20"/>
          <w:lang w:val="en-GB"/>
        </w:rPr>
        <w:t>Didactics and Methodology of Motor Activities (with workshop)</w:t>
      </w:r>
    </w:p>
    <w:p w14:paraId="6858CE37" w14:textId="2528D371" w:rsidR="000D58B6" w:rsidRPr="00732A3E" w:rsidRDefault="00122E7A" w:rsidP="00122E7A">
      <w:pPr>
        <w:spacing w:before="120"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mallCaps/>
          <w:sz w:val="20"/>
          <w:szCs w:val="20"/>
          <w:lang w:val="en-GB"/>
        </w:rPr>
        <w:t>Prof</w:t>
      </w:r>
      <w:r w:rsidR="006F1A77" w:rsidRPr="00732A3E">
        <w:rPr>
          <w:rFonts w:ascii="Times New Roman" w:hAnsi="Times New Roman" w:cs="Times New Roman"/>
          <w:smallCaps/>
          <w:sz w:val="20"/>
          <w:szCs w:val="20"/>
          <w:lang w:val="en-GB"/>
        </w:rPr>
        <w:t>.</w:t>
      </w:r>
      <w:r w:rsidRPr="00732A3E">
        <w:rPr>
          <w:rFonts w:ascii="Times New Roman" w:hAnsi="Times New Roman" w:cs="Times New Roman"/>
          <w:smallCaps/>
          <w:sz w:val="20"/>
          <w:szCs w:val="20"/>
          <w:lang w:val="en-GB"/>
        </w:rPr>
        <w:t xml:space="preserve"> Claudio Bianchin</w:t>
      </w:r>
    </w:p>
    <w:p w14:paraId="31EBF4F0" w14:textId="1B8279D2" w:rsidR="000D58B6" w:rsidRPr="00732A3E" w:rsidRDefault="00732A3E" w:rsidP="00732A3E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en-GB" w:eastAsia="it-IT"/>
          <w14:ligatures w14:val="none"/>
        </w:rPr>
      </w:pPr>
      <w:bookmarkStart w:id="0" w:name="_Hlk76557115"/>
      <w:r w:rsidRPr="00732A3E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en-GB" w:eastAsia="it-IT"/>
          <w14:ligatures w14:val="none"/>
        </w:rPr>
        <w:t xml:space="preserve">COURSE AIMS AND </w:t>
      </w:r>
      <w:proofErr w:type="gramStart"/>
      <w:r w:rsidRPr="00732A3E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en-GB" w:eastAsia="it-IT"/>
          <w14:ligatures w14:val="none"/>
        </w:rPr>
        <w:t>INTENDED</w:t>
      </w:r>
      <w:proofErr w:type="gramEnd"/>
      <w:r w:rsidRPr="00732A3E">
        <w:rPr>
          <w:rFonts w:ascii="Times New Roman" w:eastAsia="Times New Roman" w:hAnsi="Times New Roman" w:cs="Times New Roman"/>
          <w:b/>
          <w:i/>
          <w:kern w:val="0"/>
          <w:sz w:val="18"/>
          <w:szCs w:val="24"/>
          <w:lang w:val="en-GB" w:eastAsia="it-IT"/>
          <w14:ligatures w14:val="none"/>
        </w:rPr>
        <w:t xml:space="preserve"> LEARNING OUTCOMES</w:t>
      </w:r>
      <w:bookmarkEnd w:id="0"/>
    </w:p>
    <w:p w14:paraId="442076AD" w14:textId="4CD9B9EF" w:rsidR="000D58B6" w:rsidRPr="00732A3E" w:rsidRDefault="00ED7B8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D7B86">
        <w:rPr>
          <w:rFonts w:ascii="Times New Roman" w:hAnsi="Times New Roman" w:cs="Times New Roman"/>
          <w:sz w:val="20"/>
          <w:szCs w:val="20"/>
          <w:lang w:val="en-GB"/>
        </w:rPr>
        <w:t>The course aims to raise awareness of the objectives and forms of movement adapted to infancy and childhood</w:t>
      </w:r>
      <w:r w:rsidR="002875FD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ED7B8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meant</w:t>
      </w:r>
      <w:r w:rsidRPr="00ED7B86">
        <w:rPr>
          <w:rFonts w:ascii="Times New Roman" w:hAnsi="Times New Roman" w:cs="Times New Roman"/>
          <w:sz w:val="20"/>
          <w:szCs w:val="20"/>
          <w:lang w:val="en-GB"/>
        </w:rPr>
        <w:t xml:space="preserve"> as periods of not only motor but also socio-affective and intellectual-cognitive growth. At the end of the </w:t>
      </w:r>
      <w:r>
        <w:rPr>
          <w:rFonts w:ascii="Times New Roman" w:hAnsi="Times New Roman" w:cs="Times New Roman"/>
          <w:sz w:val="20"/>
          <w:szCs w:val="20"/>
          <w:lang w:val="en-GB"/>
        </w:rPr>
        <w:t>course</w:t>
      </w:r>
      <w:r w:rsidRPr="00ED7B86">
        <w:rPr>
          <w:rFonts w:ascii="Times New Roman" w:hAnsi="Times New Roman" w:cs="Times New Roman"/>
          <w:sz w:val="20"/>
          <w:szCs w:val="20"/>
          <w:lang w:val="en-GB"/>
        </w:rPr>
        <w:t>, student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ED7B86">
        <w:rPr>
          <w:rFonts w:ascii="Times New Roman" w:hAnsi="Times New Roman" w:cs="Times New Roman"/>
          <w:sz w:val="20"/>
          <w:szCs w:val="20"/>
          <w:lang w:val="en-GB"/>
        </w:rPr>
        <w:t xml:space="preserve"> will be able to know and understand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2C759C5F" w14:textId="74A49B79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a) </w:t>
      </w:r>
      <w:r w:rsidR="001A4FFB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>movement theories</w:t>
      </w:r>
      <w:r w:rsidR="001A4FFB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place them in the psycho-pedagogical </w:t>
      </w:r>
      <w:proofErr w:type="gramStart"/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>context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6FCB3F7" w14:textId="04DE59C8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b) </w:t>
      </w:r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the psycho-motor characteristics of developmental age and the main aspects of teaching recreational-motor activities adapted to age and </w:t>
      </w:r>
      <w:proofErr w:type="gramStart"/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>gender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646AA00" w14:textId="2C248F84" w:rsidR="001A4FFB" w:rsidRPr="001A4FFB" w:rsidRDefault="000D58B6" w:rsidP="001A4FF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c) </w:t>
      </w:r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>the methodology and strategies for inclusion, self-control</w:t>
      </w:r>
      <w:r w:rsidR="001A4FF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1A4FFB"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 and self-perception.</w:t>
      </w:r>
    </w:p>
    <w:p w14:paraId="2C1C2C88" w14:textId="5E6D0C6A" w:rsidR="000D58B6" w:rsidRPr="00732A3E" w:rsidRDefault="001A4FFB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4FFB">
        <w:rPr>
          <w:rFonts w:ascii="Times New Roman" w:hAnsi="Times New Roman" w:cs="Times New Roman"/>
          <w:sz w:val="20"/>
          <w:szCs w:val="20"/>
          <w:lang w:val="en-GB"/>
        </w:rPr>
        <w:t>They will be able to apply this knowledge in the planning and management of recreational-motor activities aimed at the cognitive, socio-affective and motor growth of the child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FE5306D" w14:textId="2E75FBA6" w:rsidR="000D58B6" w:rsidRPr="00732A3E" w:rsidRDefault="001A4FFB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In addition, they will </w:t>
      </w:r>
      <w:r w:rsidR="00C17CB8">
        <w:rPr>
          <w:rFonts w:ascii="Times New Roman" w:hAnsi="Times New Roman" w:cs="Times New Roman"/>
          <w:sz w:val="20"/>
          <w:szCs w:val="20"/>
          <w:lang w:val="en-GB"/>
        </w:rPr>
        <w:t>learn</w:t>
      </w: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 the communication skills useful for the educational relationship and the ability to appropriately </w:t>
      </w:r>
      <w:r w:rsidR="00C17CB8">
        <w:rPr>
          <w:rFonts w:ascii="Times New Roman" w:hAnsi="Times New Roman" w:cs="Times New Roman"/>
          <w:sz w:val="20"/>
          <w:szCs w:val="20"/>
          <w:lang w:val="en-GB"/>
        </w:rPr>
        <w:t>assess</w:t>
      </w: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 the learning outcome of students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67FA954" w14:textId="6111C2D0" w:rsidR="000D58B6" w:rsidRPr="00732A3E" w:rsidRDefault="00732A3E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bookmarkStart w:id="1" w:name="_Hlk76557154"/>
      <w:r w:rsidRPr="00732A3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COURSE CONTENT</w:t>
      </w:r>
      <w:bookmarkEnd w:id="1"/>
      <w:r w:rsidRPr="00732A3E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</w:t>
      </w:r>
    </w:p>
    <w:p w14:paraId="0A8FCC4B" w14:textId="4C705D14" w:rsidR="000D58B6" w:rsidRPr="00732A3E" w:rsidRDefault="001A4FFB" w:rsidP="00122E7A">
      <w:pPr>
        <w:spacing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  <w:t xml:space="preserve">THEORETICAL </w:t>
      </w:r>
      <w:r w:rsidR="000D58B6" w:rsidRPr="00732A3E"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  <w:t xml:space="preserve">PART </w:t>
      </w:r>
    </w:p>
    <w:p w14:paraId="499D0561" w14:textId="506BB4AE" w:rsidR="000D58B6" w:rsidRPr="00732A3E" w:rsidRDefault="001A4FFB" w:rsidP="00122E7A">
      <w:pPr>
        <w:pStyle w:val="Paragrafoelenco"/>
        <w:numPr>
          <w:ilvl w:val="0"/>
          <w:numId w:val="1"/>
        </w:num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Human movement and its forms within contemporary culture and values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7E4338E" w14:textId="34EA97D4" w:rsidR="000D58B6" w:rsidRPr="00732A3E" w:rsidRDefault="001A4FFB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Functions and structures of human movement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89A95D7" w14:textId="182A14EC" w:rsidR="000D58B6" w:rsidRPr="00732A3E" w:rsidRDefault="001A4FFB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Lack of movement: hypokinesia and motor illiteracy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D734F57" w14:textId="75C979E7" w:rsidR="000D58B6" w:rsidRPr="00732A3E" w:rsidRDefault="001A4FFB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1A4FFB">
        <w:rPr>
          <w:rFonts w:ascii="Times New Roman" w:hAnsi="Times New Roman" w:cs="Times New Roman"/>
          <w:sz w:val="20"/>
          <w:szCs w:val="20"/>
          <w:lang w:val="en-GB"/>
        </w:rPr>
        <w:t xml:space="preserve">Motor development: ontogenesis and evolution of basic motor patterns from birth to 11 years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BB7AEB9" w14:textId="6B699096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The functional prerequisites and their structuring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0B6BB2F" w14:textId="33B1F592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Psycho-motor education in its various aspects and the relationships between body growth, neuro-motor and psychic development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D37DAF5" w14:textId="134677DD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The acquisition of skills and the development of coordinative and conditional abilities in developmental age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22D7BD86" w14:textId="3F58ACD1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Body schema and self-efficacy</w:t>
      </w:r>
    </w:p>
    <w:p w14:paraId="498E9353" w14:textId="21E42401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Motor activity and socio-intellectual, emotional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 and moral development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DB6A23A" w14:textId="469A20AB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General principles of graduality and progressiveness in the use of movement and the methodological-didactic variables </w:t>
      </w:r>
    </w:p>
    <w:p w14:paraId="627A8B6C" w14:textId="68394899" w:rsidR="000D58B6" w:rsidRPr="00732A3E" w:rsidRDefault="00C17CB8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17CB8">
        <w:rPr>
          <w:rFonts w:ascii="Times New Roman" w:hAnsi="Times New Roman" w:cs="Times New Roman"/>
          <w:sz w:val="20"/>
          <w:szCs w:val="20"/>
          <w:lang w:val="en-GB"/>
        </w:rPr>
        <w:t>Teaching strategies</w:t>
      </w:r>
    </w:p>
    <w:p w14:paraId="12438DEC" w14:textId="77777777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D5ED0DA" w14:textId="77777777" w:rsidR="00122E7A" w:rsidRPr="00732A3E" w:rsidRDefault="00122E7A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4A8487D" w14:textId="6BBBC840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</w:pPr>
      <w:r w:rsidRPr="00732A3E"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  <w:lastRenderedPageBreak/>
        <w:t>P</w:t>
      </w:r>
      <w:r w:rsidR="00B115FC"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  <w:t>RACTICAL P</w:t>
      </w:r>
      <w:r w:rsidRPr="00732A3E">
        <w:rPr>
          <w:rFonts w:ascii="Times New Roman" w:hAnsi="Times New Roman" w:cs="Times New Roman"/>
          <w:smallCaps/>
          <w:sz w:val="20"/>
          <w:szCs w:val="20"/>
          <w:u w:val="single"/>
          <w:lang w:val="en-GB"/>
        </w:rPr>
        <w:t>ART</w:t>
      </w:r>
    </w:p>
    <w:p w14:paraId="06F1AE44" w14:textId="2FC7EA41" w:rsidR="000D58B6" w:rsidRPr="00732A3E" w:rsidRDefault="00B115FC" w:rsidP="00122E7A">
      <w:pPr>
        <w:pStyle w:val="Paragrafoelenco"/>
        <w:numPr>
          <w:ilvl w:val="0"/>
          <w:numId w:val="1"/>
        </w:num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Development of sociability</w:t>
      </w:r>
    </w:p>
    <w:p w14:paraId="00B72BCB" w14:textId="2000B73D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Sensory education</w:t>
      </w:r>
    </w:p>
    <w:p w14:paraId="0E17A9FF" w14:textId="1C4AF1B2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Postural education and proprioception</w:t>
      </w:r>
    </w:p>
    <w:p w14:paraId="3CE1454C" w14:textId="74502DF8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Respiratory education</w:t>
      </w:r>
    </w:p>
    <w:p w14:paraId="292C59A7" w14:textId="4A92ACB7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>Bodily expressiveness</w:t>
      </w:r>
    </w:p>
    <w:p w14:paraId="25782028" w14:textId="33CB12E2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Perception and </w:t>
      </w:r>
      <w:proofErr w:type="spellStart"/>
      <w:r w:rsidRPr="00B115FC">
        <w:rPr>
          <w:rFonts w:ascii="Times New Roman" w:hAnsi="Times New Roman" w:cs="Times New Roman"/>
          <w:sz w:val="20"/>
          <w:szCs w:val="20"/>
          <w:lang w:val="en-GB"/>
        </w:rPr>
        <w:t>spatio</w:t>
      </w:r>
      <w:proofErr w:type="spellEnd"/>
      <w:r w:rsidRPr="00B115FC">
        <w:rPr>
          <w:rFonts w:ascii="Times New Roman" w:hAnsi="Times New Roman" w:cs="Times New Roman"/>
          <w:sz w:val="20"/>
          <w:szCs w:val="20"/>
          <w:lang w:val="en-GB"/>
        </w:rPr>
        <w:t>-temporal organi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B115FC">
        <w:rPr>
          <w:rFonts w:ascii="Times New Roman" w:hAnsi="Times New Roman" w:cs="Times New Roman"/>
          <w:sz w:val="20"/>
          <w:szCs w:val="20"/>
          <w:lang w:val="en-GB"/>
        </w:rPr>
        <w:t>ation and development of laterali</w:t>
      </w:r>
      <w:r>
        <w:rPr>
          <w:rFonts w:ascii="Times New Roman" w:hAnsi="Times New Roman" w:cs="Times New Roman"/>
          <w:sz w:val="20"/>
          <w:szCs w:val="20"/>
          <w:lang w:val="en-GB"/>
        </w:rPr>
        <w:t>zation</w:t>
      </w:r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0C7652C2" w14:textId="51AD60F3" w:rsidR="000D58B6" w:rsidRPr="00732A3E" w:rsidRDefault="00B115FC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From basic motor patterns to the first forms of gestures applied to sport: sports </w:t>
      </w:r>
      <w:proofErr w:type="gramStart"/>
      <w:r w:rsidRPr="00B115FC">
        <w:rPr>
          <w:rFonts w:ascii="Times New Roman" w:hAnsi="Times New Roman" w:cs="Times New Roman"/>
          <w:sz w:val="20"/>
          <w:szCs w:val="20"/>
          <w:lang w:val="en-GB"/>
        </w:rPr>
        <w:t>games</w:t>
      </w:r>
      <w:proofErr w:type="gramEnd"/>
      <w:r w:rsidRPr="00B115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251A71B" w14:textId="585DAC7E" w:rsidR="000D58B6" w:rsidRPr="00732A3E" w:rsidRDefault="0008376B" w:rsidP="00122E7A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From macro-planning to operational programming: the teaching sequence, the work </w:t>
      </w:r>
      <w:proofErr w:type="gramStart"/>
      <w:r w:rsidRPr="0008376B">
        <w:rPr>
          <w:rFonts w:ascii="Times New Roman" w:hAnsi="Times New Roman" w:cs="Times New Roman"/>
          <w:sz w:val="20"/>
          <w:szCs w:val="20"/>
          <w:lang w:val="en-GB"/>
        </w:rPr>
        <w:t>unit</w:t>
      </w:r>
      <w:proofErr w:type="gramEnd"/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 and the learning unit for different ages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52F87AA" w14:textId="40E7A284" w:rsidR="000D58B6" w:rsidRPr="00732A3E" w:rsidRDefault="0008376B" w:rsidP="00122E7A">
      <w:pPr>
        <w:spacing w:before="12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The course is </w:t>
      </w:r>
      <w:r>
        <w:rPr>
          <w:rFonts w:ascii="Times New Roman" w:hAnsi="Times New Roman" w:cs="Times New Roman"/>
          <w:sz w:val="20"/>
          <w:szCs w:val="20"/>
          <w:lang w:val="en-GB"/>
        </w:rPr>
        <w:t>supplemented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by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 didactic-</w:t>
      </w:r>
      <w:r>
        <w:rPr>
          <w:rFonts w:ascii="Times New Roman" w:hAnsi="Times New Roman" w:cs="Times New Roman"/>
          <w:sz w:val="20"/>
          <w:szCs w:val="20"/>
          <w:lang w:val="en-GB"/>
        </w:rPr>
        <w:t>workshop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 activities </w:t>
      </w:r>
      <w:r>
        <w:rPr>
          <w:rFonts w:ascii="Times New Roman" w:hAnsi="Times New Roman" w:cs="Times New Roman"/>
          <w:sz w:val="20"/>
          <w:szCs w:val="20"/>
          <w:lang w:val="en-GB"/>
        </w:rPr>
        <w:t>held by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 expert leaders and characteri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ed by specific themes and methodologies agreed with the </w:t>
      </w:r>
      <w:r>
        <w:rPr>
          <w:rFonts w:ascii="Times New Roman" w:hAnsi="Times New Roman" w:cs="Times New Roman"/>
          <w:sz w:val="20"/>
          <w:szCs w:val="20"/>
          <w:lang w:val="en-GB"/>
        </w:rPr>
        <w:t>teacher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B747A06" w14:textId="067707E2" w:rsidR="000D58B6" w:rsidRPr="00732A3E" w:rsidRDefault="0008376B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Each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workshop session 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will be aimed at producing a project/artefact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that will be assessed by 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the conductor </w:t>
      </w:r>
      <w:proofErr w:type="gramStart"/>
      <w:r w:rsidRPr="0008376B">
        <w:rPr>
          <w:rFonts w:ascii="Times New Roman" w:hAnsi="Times New Roman" w:cs="Times New Roman"/>
          <w:sz w:val="20"/>
          <w:szCs w:val="20"/>
          <w:lang w:val="en-GB"/>
        </w:rPr>
        <w:t>on the basis of</w:t>
      </w:r>
      <w:proofErr w:type="gramEnd"/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 parameters shared with the teacher and based on criteria </w:t>
      </w:r>
      <w:r w:rsidR="00B91B92">
        <w:rPr>
          <w:rFonts w:ascii="Times New Roman" w:hAnsi="Times New Roman" w:cs="Times New Roman"/>
          <w:sz w:val="20"/>
          <w:szCs w:val="20"/>
          <w:lang w:val="en-GB"/>
        </w:rPr>
        <w:t>such as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 xml:space="preserve">: completeness, </w:t>
      </w:r>
      <w:r>
        <w:rPr>
          <w:rFonts w:ascii="Times New Roman" w:hAnsi="Times New Roman" w:cs="Times New Roman"/>
          <w:sz w:val="20"/>
          <w:szCs w:val="20"/>
          <w:lang w:val="en-GB"/>
        </w:rPr>
        <w:t>consistency</w:t>
      </w:r>
      <w:r w:rsidRPr="0008376B">
        <w:rPr>
          <w:rFonts w:ascii="Times New Roman" w:hAnsi="Times New Roman" w:cs="Times New Roman"/>
          <w:sz w:val="20"/>
          <w:szCs w:val="20"/>
          <w:lang w:val="en-GB"/>
        </w:rPr>
        <w:t>, originality, didactic usabilit</w:t>
      </w:r>
      <w:r>
        <w:rPr>
          <w:rFonts w:ascii="Times New Roman" w:hAnsi="Times New Roman" w:cs="Times New Roman"/>
          <w:sz w:val="20"/>
          <w:szCs w:val="20"/>
          <w:lang w:val="en-GB"/>
        </w:rPr>
        <w:t>y.</w:t>
      </w:r>
    </w:p>
    <w:p w14:paraId="5E7A0162" w14:textId="2855015E" w:rsidR="000D58B6" w:rsidRPr="00732A3E" w:rsidRDefault="00732A3E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READING LIST </w:t>
      </w:r>
    </w:p>
    <w:p w14:paraId="0993F834" w14:textId="79C2BDDD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F. CASOLO, Didattica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delle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attività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motorie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per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l’età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evolutiva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>, Vita e Pensiero, Milan, 2011.</w:t>
      </w:r>
    </w:p>
    <w:p w14:paraId="0CA59013" w14:textId="77777777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F. CASOLO-G. FRATTINI,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Educazione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motoria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percorsi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ludici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di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apprendimento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Scholé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Editrice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Morcelliana, Brescia, 2021.</w:t>
      </w:r>
    </w:p>
    <w:p w14:paraId="4694F0AF" w14:textId="3EFAAD90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F. CASOLO-S. MELICA,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Neuroscienze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corporeità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ed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espressività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>, Vita e Pensiero, Milan, 2022</w:t>
      </w:r>
    </w:p>
    <w:p w14:paraId="5AE243DD" w14:textId="31E144E8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>M. MONDONI-C.</w:t>
      </w:r>
      <w:r w:rsidR="006F1A77"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SALVETTI, Didattica del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movimento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per la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scuola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dell’infanzia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>, Vita e Pensiero, Milan, 2015.</w:t>
      </w:r>
    </w:p>
    <w:p w14:paraId="35524A68" w14:textId="3E15CCC7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D. COCO, Pedagogia del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corpo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ludico-motorio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e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sviluppo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morale, Editoriale Anicia, Rom</w:t>
      </w:r>
      <w:r w:rsidR="0008376B"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>, 2014.</w:t>
      </w:r>
    </w:p>
    <w:p w14:paraId="30FD3872" w14:textId="7B6D7E03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A.A.V.V.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Imparare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giocando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Vademecum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di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giochi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per la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scuola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primaria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, Libreria </w:t>
      </w:r>
      <w:proofErr w:type="spellStart"/>
      <w:r w:rsidRPr="00732A3E">
        <w:rPr>
          <w:rFonts w:ascii="Times New Roman" w:hAnsi="Times New Roman" w:cs="Times New Roman"/>
          <w:sz w:val="20"/>
          <w:szCs w:val="20"/>
          <w:lang w:val="en-GB"/>
        </w:rPr>
        <w:t>dello</w:t>
      </w:r>
      <w:proofErr w:type="spellEnd"/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Sport, Milan, 2011.</w:t>
      </w:r>
    </w:p>
    <w:p w14:paraId="7D6B3DE2" w14:textId="5AFAB27F" w:rsidR="000D58B6" w:rsidRPr="00732A3E" w:rsidRDefault="00732A3E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b/>
          <w:i/>
          <w:sz w:val="20"/>
          <w:szCs w:val="20"/>
          <w:lang w:val="en-GB"/>
        </w:rPr>
        <w:t>TEACHING METHOD</w:t>
      </w:r>
    </w:p>
    <w:p w14:paraId="5DE422CB" w14:textId="7769BDC4" w:rsidR="000D58B6" w:rsidRPr="00732A3E" w:rsidRDefault="00011E11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11E11">
        <w:rPr>
          <w:rFonts w:ascii="Times New Roman" w:hAnsi="Times New Roman" w:cs="Times New Roman"/>
          <w:sz w:val="20"/>
          <w:szCs w:val="20"/>
          <w:lang w:val="en-GB"/>
        </w:rPr>
        <w:t>The course is divided into</w:t>
      </w:r>
      <w:r w:rsidR="006F1A77" w:rsidRPr="00732A3E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274576F8" w14:textId="404C013A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011E11" w:rsidRPr="00011E11">
        <w:rPr>
          <w:rFonts w:ascii="Times New Roman" w:hAnsi="Times New Roman" w:cs="Times New Roman"/>
          <w:sz w:val="20"/>
          <w:szCs w:val="20"/>
          <w:lang w:val="en-GB"/>
        </w:rPr>
        <w:t>theoretical lessons in courses in the classroom</w:t>
      </w:r>
      <w:r w:rsidR="006F1A77" w:rsidRPr="00732A3E">
        <w:rPr>
          <w:rFonts w:ascii="Times New Roman" w:hAnsi="Times New Roman" w:cs="Times New Roman"/>
          <w:sz w:val="20"/>
          <w:szCs w:val="20"/>
          <w:lang w:val="en-GB"/>
        </w:rPr>
        <w:t>,</w:t>
      </w:r>
    </w:p>
    <w:p w14:paraId="7AA6AE93" w14:textId="19BC3371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011E11" w:rsidRPr="00011E11">
        <w:rPr>
          <w:rFonts w:ascii="Times New Roman" w:hAnsi="Times New Roman" w:cs="Times New Roman"/>
          <w:sz w:val="20"/>
          <w:szCs w:val="20"/>
          <w:lang w:val="en-GB"/>
        </w:rPr>
        <w:t xml:space="preserve">theoretical-practical lessons </w:t>
      </w:r>
      <w:r w:rsidR="006F131C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="00011E11" w:rsidRPr="00011E11">
        <w:rPr>
          <w:rFonts w:ascii="Times New Roman" w:hAnsi="Times New Roman" w:cs="Times New Roman"/>
          <w:sz w:val="20"/>
          <w:szCs w:val="20"/>
          <w:lang w:val="en-GB"/>
        </w:rPr>
        <w:t xml:space="preserve"> separate courses in the gym with multimedia support</w:t>
      </w:r>
      <w:r w:rsidR="006F1A77" w:rsidRPr="00732A3E">
        <w:rPr>
          <w:rFonts w:ascii="Times New Roman" w:hAnsi="Times New Roman" w:cs="Times New Roman"/>
          <w:sz w:val="20"/>
          <w:szCs w:val="20"/>
          <w:lang w:val="en-GB"/>
        </w:rPr>
        <w:t>,</w:t>
      </w:r>
    </w:p>
    <w:p w14:paraId="16320A74" w14:textId="49284D13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r w:rsidR="006F131C" w:rsidRPr="006F131C">
        <w:rPr>
          <w:rFonts w:ascii="Times New Roman" w:hAnsi="Times New Roman" w:cs="Times New Roman"/>
          <w:sz w:val="20"/>
          <w:szCs w:val="20"/>
          <w:lang w:val="en-GB"/>
        </w:rPr>
        <w:t>practical workshops in the gym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DCCAA60" w14:textId="77777777" w:rsidR="00122E7A" w:rsidRPr="00732A3E" w:rsidRDefault="00122E7A" w:rsidP="00122E7A">
      <w:pPr>
        <w:spacing w:before="240" w:after="12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8C7C7A7" w14:textId="1E28AB42" w:rsidR="000D58B6" w:rsidRPr="00732A3E" w:rsidRDefault="00732A3E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bookmarkStart w:id="2" w:name="_Hlk76557213"/>
      <w:r w:rsidRPr="00732A3E">
        <w:rPr>
          <w:rFonts w:ascii="Times New Roman" w:hAnsi="Times New Roman" w:cs="Times New Roman"/>
          <w:b/>
          <w:i/>
          <w:sz w:val="20"/>
          <w:szCs w:val="20"/>
          <w:lang w:val="en-GB"/>
        </w:rPr>
        <w:lastRenderedPageBreak/>
        <w:t>ASSESSMENT METHOD AND CRITERIA</w:t>
      </w:r>
      <w:bookmarkEnd w:id="2"/>
      <w:r w:rsidRPr="00732A3E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</w:p>
    <w:p w14:paraId="43431E65" w14:textId="50D573E9" w:rsidR="000D58B6" w:rsidRPr="00732A3E" w:rsidRDefault="00FF6153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6153">
        <w:rPr>
          <w:rFonts w:ascii="Times New Roman" w:hAnsi="Times New Roman" w:cs="Times New Roman"/>
          <w:sz w:val="20"/>
          <w:szCs w:val="20"/>
          <w:lang w:val="en-GB"/>
        </w:rPr>
        <w:t>The exam takes place in two parts, both compulsory for all students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0F1E289" w14:textId="48EA23F5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1) 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A written/IT </w:t>
      </w:r>
      <w:r w:rsidR="00607486">
        <w:rPr>
          <w:rFonts w:ascii="Times New Roman" w:hAnsi="Times New Roman" w:cs="Times New Roman"/>
          <w:sz w:val="20"/>
          <w:szCs w:val="20"/>
          <w:lang w:val="en-GB"/>
        </w:rPr>
        <w:t>test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on the theoretical part of the course which consists of 20 multiple choice items. The 20 questions are assigned a score of 0.75 (correct answer) or 0 (incorrect answer). To access the oral exam, students must have passed the written test with a minimum score of 8.25</w:t>
      </w:r>
      <w:r w:rsidR="00FF6153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5A8C4D14" w14:textId="135143F4" w:rsidR="000D58B6" w:rsidRPr="00732A3E" w:rsidRDefault="000D58B6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2) 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>An oral exam which consists of an interview on the in-depth analysis of the theoretical-practical part, the learning paths</w:t>
      </w:r>
      <w:r w:rsidR="00FF615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and the </w:t>
      </w:r>
      <w:r w:rsidR="00FF6153">
        <w:rPr>
          <w:rFonts w:ascii="Times New Roman" w:hAnsi="Times New Roman" w:cs="Times New Roman"/>
          <w:sz w:val="20"/>
          <w:szCs w:val="20"/>
          <w:lang w:val="en-GB"/>
        </w:rPr>
        <w:t>workshops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. The </w:t>
      </w:r>
      <w:r w:rsidR="00FF6153">
        <w:rPr>
          <w:rFonts w:ascii="Times New Roman" w:hAnsi="Times New Roman" w:cs="Times New Roman"/>
          <w:sz w:val="20"/>
          <w:szCs w:val="20"/>
          <w:lang w:val="en-GB"/>
        </w:rPr>
        <w:t>assessment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of this part, which includes the relevance of the answers, the appropriate use of specific terminology, the reasoned and </w:t>
      </w:r>
      <w:r w:rsidR="00FF6153">
        <w:rPr>
          <w:rFonts w:ascii="Times New Roman" w:hAnsi="Times New Roman" w:cs="Times New Roman"/>
          <w:sz w:val="20"/>
          <w:szCs w:val="20"/>
          <w:lang w:val="en-GB"/>
        </w:rPr>
        <w:t>consistent</w:t>
      </w:r>
      <w:r w:rsidR="00FF6153"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structuring of the discussion and the ability to identify conceptual links and open questions, is </w:t>
      </w:r>
      <w:r w:rsidR="00FF6153">
        <w:rPr>
          <w:rFonts w:ascii="Times New Roman" w:hAnsi="Times New Roman" w:cs="Times New Roman"/>
          <w:sz w:val="20"/>
          <w:szCs w:val="20"/>
          <w:lang w:val="en-GB"/>
        </w:rPr>
        <w:t>on a 15 point-scale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.  </w:t>
      </w:r>
    </w:p>
    <w:p w14:paraId="5375D1A8" w14:textId="1EB7DB75" w:rsidR="000D58B6" w:rsidRPr="00732A3E" w:rsidRDefault="00FF6153" w:rsidP="00122E7A">
      <w:p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The final mark out of thirty is the result of the sum of the </w:t>
      </w:r>
      <w:r>
        <w:rPr>
          <w:rFonts w:ascii="Times New Roman" w:hAnsi="Times New Roman" w:cs="Times New Roman"/>
          <w:sz w:val="20"/>
          <w:szCs w:val="20"/>
          <w:lang w:val="en-GB"/>
        </w:rPr>
        <w:t>assessments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obtained in the two parts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69F8F3B8" w14:textId="5F867409" w:rsidR="000D58B6" w:rsidRPr="00732A3E" w:rsidRDefault="00732A3E" w:rsidP="00122E7A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bookmarkStart w:id="3" w:name="_Hlk76557228"/>
      <w:r w:rsidRPr="00732A3E">
        <w:rPr>
          <w:rFonts w:ascii="Times New Roman" w:hAnsi="Times New Roman" w:cs="Times New Roman"/>
          <w:b/>
          <w:i/>
          <w:sz w:val="20"/>
          <w:szCs w:val="20"/>
          <w:lang w:val="en-GB"/>
        </w:rPr>
        <w:t>NOTES AND PREREQUISITES</w:t>
      </w:r>
      <w:bookmarkEnd w:id="3"/>
      <w:r w:rsidRPr="00732A3E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</w:p>
    <w:p w14:paraId="0EAAC3F2" w14:textId="0B2A2D60" w:rsidR="000D58B6" w:rsidRPr="00732A3E" w:rsidRDefault="00FF6153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Since this is an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introductory </w:t>
      </w:r>
      <w:r>
        <w:rPr>
          <w:rFonts w:ascii="Times New Roman" w:hAnsi="Times New Roman" w:cs="Times New Roman"/>
          <w:sz w:val="20"/>
          <w:szCs w:val="20"/>
          <w:lang w:val="en-GB"/>
        </w:rPr>
        <w:t>course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>, the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re are no content-related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prerequisites </w:t>
      </w:r>
      <w:r>
        <w:rPr>
          <w:rFonts w:ascii="Times New Roman" w:hAnsi="Times New Roman" w:cs="Times New Roman"/>
          <w:sz w:val="20"/>
          <w:szCs w:val="20"/>
          <w:lang w:val="en-GB"/>
        </w:rPr>
        <w:t>for attending it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. However,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students are expected to have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interest and </w:t>
      </w:r>
      <w:r>
        <w:rPr>
          <w:rFonts w:ascii="Times New Roman" w:hAnsi="Times New Roman" w:cs="Times New Roman"/>
          <w:sz w:val="20"/>
          <w:szCs w:val="20"/>
          <w:lang w:val="en-GB"/>
        </w:rPr>
        <w:t>willingness to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participat</w:t>
      </w:r>
      <w:r>
        <w:rPr>
          <w:rFonts w:ascii="Times New Roman" w:hAnsi="Times New Roman" w:cs="Times New Roman"/>
          <w:sz w:val="20"/>
          <w:szCs w:val="20"/>
          <w:lang w:val="en-GB"/>
        </w:rPr>
        <w:t>e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 in the theoretical and practical lessons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The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practical lessons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will have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>to be carried out in suitable sports clothing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82BD62F" w14:textId="784453D8" w:rsidR="000D58B6" w:rsidRPr="00732A3E" w:rsidRDefault="00FF6153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Further information on the course and lesson contents can be consulted on the </w:t>
      </w:r>
      <w:r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“Blackboard” </w:t>
      </w:r>
      <w:r w:rsidRPr="00FF6153">
        <w:rPr>
          <w:rFonts w:ascii="Times New Roman" w:hAnsi="Times New Roman" w:cs="Times New Roman"/>
          <w:sz w:val="20"/>
          <w:szCs w:val="20"/>
          <w:lang w:val="en-GB"/>
        </w:rPr>
        <w:t xml:space="preserve">support in the course dedicated </w:t>
      </w:r>
      <w:r>
        <w:rPr>
          <w:rFonts w:ascii="Times New Roman" w:hAnsi="Times New Roman" w:cs="Times New Roman"/>
          <w:sz w:val="20"/>
          <w:szCs w:val="20"/>
          <w:lang w:val="en-GB"/>
        </w:rPr>
        <w:t>section</w:t>
      </w:r>
      <w:r w:rsidR="000D58B6" w:rsidRPr="00732A3E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6195C17E" w14:textId="77777777" w:rsidR="00732A3E" w:rsidRPr="00732A3E" w:rsidRDefault="00732A3E" w:rsidP="00732A3E">
      <w:pPr>
        <w:pStyle w:val="Testo2"/>
        <w:spacing w:before="120"/>
        <w:ind w:right="27" w:firstLine="0"/>
        <w:rPr>
          <w:lang w:val="en-GB"/>
        </w:rPr>
      </w:pPr>
      <w:bookmarkStart w:id="4" w:name="_Hlk76559061"/>
      <w:bookmarkStart w:id="5" w:name="_Hlk76565747"/>
      <w:bookmarkStart w:id="6" w:name="_Hlk76556740"/>
    </w:p>
    <w:p w14:paraId="67BD25D6" w14:textId="798AEC3C" w:rsidR="00732A3E" w:rsidRPr="00FF6153" w:rsidRDefault="00732A3E" w:rsidP="00732A3E">
      <w:pPr>
        <w:pStyle w:val="Testo2"/>
        <w:spacing w:before="120"/>
        <w:ind w:right="27" w:firstLine="0"/>
        <w:rPr>
          <w:rFonts w:ascii="Times New Roman" w:eastAsiaTheme="minorHAnsi" w:hAnsi="Times New Roman"/>
          <w:noProof w:val="0"/>
          <w:kern w:val="2"/>
          <w:sz w:val="20"/>
          <w:lang w:val="en-GB" w:eastAsia="en-US"/>
          <w14:ligatures w14:val="standardContextual"/>
        </w:rPr>
      </w:pPr>
      <w:r w:rsidRPr="00FF6153">
        <w:rPr>
          <w:rFonts w:ascii="Times New Roman" w:eastAsiaTheme="minorHAnsi" w:hAnsi="Times New Roman"/>
          <w:noProof w:val="0"/>
          <w:kern w:val="2"/>
          <w:sz w:val="20"/>
          <w:lang w:val="en-GB" w:eastAsia="en-US"/>
          <w14:ligatures w14:val="standardContextual"/>
        </w:rPr>
        <w:t xml:space="preserve">Information on office hours available on the teacher's personal page at </w:t>
      </w:r>
      <w:hyperlink r:id="rId5" w:history="1">
        <w:r w:rsidRPr="00FF6153">
          <w:rPr>
            <w:rFonts w:ascii="Times New Roman" w:eastAsiaTheme="minorHAnsi" w:hAnsi="Times New Roman"/>
            <w:noProof w:val="0"/>
            <w:kern w:val="2"/>
            <w:sz w:val="20"/>
            <w:lang w:eastAsia="en-US"/>
            <w14:ligatures w14:val="standardContextual"/>
          </w:rPr>
          <w:t>http://docenti.unicatt.it/</w:t>
        </w:r>
      </w:hyperlink>
      <w:bookmarkEnd w:id="4"/>
      <w:r w:rsidRPr="00FF6153">
        <w:rPr>
          <w:rFonts w:ascii="Times New Roman" w:eastAsiaTheme="minorHAnsi" w:hAnsi="Times New Roman"/>
          <w:noProof w:val="0"/>
          <w:kern w:val="2"/>
          <w:sz w:val="20"/>
          <w:lang w:val="en-GB" w:eastAsia="en-US"/>
          <w14:ligatures w14:val="standardContextual"/>
        </w:rPr>
        <w:t>.</w:t>
      </w:r>
      <w:bookmarkEnd w:id="5"/>
    </w:p>
    <w:bookmarkEnd w:id="6"/>
    <w:p w14:paraId="28BCFB63" w14:textId="2AAEFB76" w:rsidR="00AB0034" w:rsidRPr="00122E7A" w:rsidRDefault="00AB0034" w:rsidP="00122E7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B0034" w:rsidRPr="00122E7A" w:rsidSect="00122E7A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0465"/>
    <w:multiLevelType w:val="hybridMultilevel"/>
    <w:tmpl w:val="A4327C50"/>
    <w:lvl w:ilvl="0" w:tplc="C3FA038E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1762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B6"/>
    <w:rsid w:val="00011E11"/>
    <w:rsid w:val="0008376B"/>
    <w:rsid w:val="000D58B6"/>
    <w:rsid w:val="00122E7A"/>
    <w:rsid w:val="001A4FFB"/>
    <w:rsid w:val="002875FD"/>
    <w:rsid w:val="003E6F79"/>
    <w:rsid w:val="005A18EC"/>
    <w:rsid w:val="00607486"/>
    <w:rsid w:val="006F131C"/>
    <w:rsid w:val="006F1A77"/>
    <w:rsid w:val="00732A3E"/>
    <w:rsid w:val="009F17D4"/>
    <w:rsid w:val="00AB0034"/>
    <w:rsid w:val="00B115FC"/>
    <w:rsid w:val="00B91B92"/>
    <w:rsid w:val="00C17CB8"/>
    <w:rsid w:val="00ED7B86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5147"/>
  <w15:chartTrackingRefBased/>
  <w15:docId w15:val="{4D21E04F-9229-4115-BFE6-6FE2588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E7A"/>
    <w:pPr>
      <w:ind w:left="720"/>
      <w:contextualSpacing/>
    </w:pPr>
  </w:style>
  <w:style w:type="paragraph" w:customStyle="1" w:styleId="Testo2">
    <w:name w:val="Testo 2"/>
    <w:uiPriority w:val="99"/>
    <w:rsid w:val="00732A3E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kern w:val="0"/>
      <w:sz w:val="18"/>
      <w:szCs w:val="20"/>
      <w:lang w:eastAsia="it-IT"/>
      <w14:ligatures w14:val="none"/>
    </w:rPr>
  </w:style>
  <w:style w:type="character" w:styleId="Collegamentoipertestuale">
    <w:name w:val="Hyperlink"/>
    <w:basedOn w:val="Carpredefinitoparagrafo"/>
    <w:unhideWhenUsed/>
    <w:rsid w:val="00732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Bianchin</dc:creator>
  <cp:keywords/>
  <dc:description/>
  <cp:lastModifiedBy>Sonlieti Cleonice</cp:lastModifiedBy>
  <cp:revision>9</cp:revision>
  <dcterms:created xsi:type="dcterms:W3CDTF">2023-10-22T10:11:00Z</dcterms:created>
  <dcterms:modified xsi:type="dcterms:W3CDTF">2024-01-11T15:02:00Z</dcterms:modified>
</cp:coreProperties>
</file>