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0BDF" w14:textId="77777777" w:rsidR="005E4A3E" w:rsidRPr="00B87A20" w:rsidRDefault="002A134B" w:rsidP="00812B72">
      <w:pPr>
        <w:pStyle w:val="Titolo1"/>
        <w:spacing w:before="120" w:after="0"/>
        <w:rPr>
          <w:rFonts w:ascii="Times New Roman" w:hAnsi="Times New Roman"/>
          <w:sz w:val="20"/>
          <w:szCs w:val="20"/>
          <w:lang w:val="en-US"/>
        </w:rPr>
      </w:pPr>
      <w:r w:rsidRPr="00B87A20">
        <w:rPr>
          <w:rFonts w:ascii="Times New Roman" w:hAnsi="Times New Roman"/>
          <w:sz w:val="20"/>
          <w:szCs w:val="20"/>
          <w:lang w:val="en-US"/>
        </w:rPr>
        <w:t>International Standard on Auditing</w:t>
      </w:r>
    </w:p>
    <w:p w14:paraId="6847547C" w14:textId="52EDC443" w:rsidR="005E4A3E" w:rsidRDefault="005E4A3E" w:rsidP="00812B72">
      <w:pPr>
        <w:pStyle w:val="Titolo1"/>
        <w:spacing w:before="0"/>
        <w:rPr>
          <w:rFonts w:ascii="Times New Roman" w:hAnsi="Times New Roman"/>
          <w:b w:val="0"/>
          <w:smallCaps/>
          <w:sz w:val="18"/>
          <w:szCs w:val="18"/>
          <w:lang w:val="en-US"/>
        </w:rPr>
      </w:pPr>
      <w:r w:rsidRPr="00585041">
        <w:rPr>
          <w:rFonts w:ascii="Times New Roman" w:hAnsi="Times New Roman"/>
          <w:b w:val="0"/>
          <w:smallCaps/>
          <w:sz w:val="18"/>
          <w:szCs w:val="18"/>
          <w:lang w:val="en-US"/>
        </w:rPr>
        <w:t xml:space="preserve">Prof. </w:t>
      </w:r>
      <w:r w:rsidR="008C5F37" w:rsidRPr="00585041">
        <w:rPr>
          <w:rFonts w:ascii="Times New Roman" w:hAnsi="Times New Roman"/>
          <w:b w:val="0"/>
          <w:smallCaps/>
          <w:sz w:val="18"/>
          <w:szCs w:val="18"/>
          <w:lang w:val="en-US"/>
        </w:rPr>
        <w:t>Marco Angelo Marinoni</w:t>
      </w:r>
    </w:p>
    <w:p w14:paraId="11FECC4F" w14:textId="77777777" w:rsidR="00B2615A" w:rsidRDefault="00B2615A" w:rsidP="00812B72">
      <w:pPr>
        <w:pStyle w:val="Normale1"/>
        <w:spacing w:after="120"/>
        <w:outlineLvl w:val="0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559978A3" w14:textId="679D20C3" w:rsidR="005E4A3E" w:rsidRPr="00585041" w:rsidRDefault="005E4A3E" w:rsidP="00812B72">
      <w:pPr>
        <w:pStyle w:val="Normale1"/>
        <w:spacing w:after="120"/>
        <w:outlineLvl w:val="0"/>
        <w:rPr>
          <w:rFonts w:ascii="Times New Roman" w:hAnsi="Times New Roman"/>
          <w:b/>
          <w:i/>
          <w:sz w:val="18"/>
          <w:szCs w:val="18"/>
          <w:lang w:val="en-US"/>
        </w:rPr>
      </w:pPr>
      <w:r w:rsidRPr="00585041">
        <w:rPr>
          <w:rFonts w:ascii="Times New Roman" w:hAnsi="Times New Roman"/>
          <w:b/>
          <w:i/>
          <w:sz w:val="18"/>
          <w:szCs w:val="18"/>
          <w:lang w:val="en-US"/>
        </w:rPr>
        <w:t>COURSE AIMS</w:t>
      </w:r>
      <w:r w:rsidR="00B513A1" w:rsidRPr="00585041">
        <w:rPr>
          <w:rFonts w:ascii="Times New Roman" w:hAnsi="Times New Roman"/>
          <w:b/>
          <w:i/>
          <w:sz w:val="18"/>
          <w:szCs w:val="18"/>
          <w:lang w:val="en-US"/>
        </w:rPr>
        <w:t xml:space="preserve"> AND INTENDED LEARNING OUTCOMES</w:t>
      </w:r>
    </w:p>
    <w:p w14:paraId="7BB5D5C2" w14:textId="77777777" w:rsidR="00F70FFC" w:rsidRPr="00585041" w:rsidRDefault="002E500C" w:rsidP="00812B72">
      <w:pPr>
        <w:jc w:val="both"/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>The course aims to delineate the purposes, principles and techniques of auditing, illustrating the methodological approach, the</w:t>
      </w:r>
      <w:r w:rsidR="00F70FFC" w:rsidRPr="00585041">
        <w:rPr>
          <w:sz w:val="18"/>
          <w:szCs w:val="18"/>
          <w:lang w:val="en-GB"/>
        </w:rPr>
        <w:t xml:space="preserve"> international</w:t>
      </w:r>
      <w:r w:rsidRPr="00585041">
        <w:rPr>
          <w:sz w:val="18"/>
          <w:szCs w:val="18"/>
          <w:lang w:val="en-GB"/>
        </w:rPr>
        <w:t xml:space="preserve"> practices and the framework of application. </w:t>
      </w:r>
    </w:p>
    <w:p w14:paraId="09D67DCC" w14:textId="4848DE08" w:rsidR="00F70FFC" w:rsidRPr="00585041" w:rsidRDefault="002E500C" w:rsidP="00812B72">
      <w:pPr>
        <w:tabs>
          <w:tab w:val="left" w:pos="708"/>
        </w:tabs>
        <w:jc w:val="both"/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 xml:space="preserve">Particularly, </w:t>
      </w:r>
      <w:r w:rsidR="00F70FFC" w:rsidRPr="00585041">
        <w:rPr>
          <w:sz w:val="18"/>
          <w:szCs w:val="18"/>
          <w:lang w:val="en-GB"/>
        </w:rPr>
        <w:t>the students will explore several important auditing themes such as the audit risk model, concerning the</w:t>
      </w:r>
      <w:r w:rsidR="00C606E0" w:rsidRPr="00585041">
        <w:rPr>
          <w:sz w:val="18"/>
          <w:szCs w:val="18"/>
          <w:lang w:val="en-GB"/>
        </w:rPr>
        <w:t xml:space="preserve"> Law and the</w:t>
      </w:r>
      <w:r w:rsidR="00F70FFC" w:rsidRPr="00585041">
        <w:rPr>
          <w:sz w:val="18"/>
          <w:szCs w:val="18"/>
          <w:lang w:val="en-GB"/>
        </w:rPr>
        <w:t xml:space="preserve"> International Standards on Auditing; the valuation of the </w:t>
      </w:r>
      <w:r w:rsidR="00C606E0" w:rsidRPr="00585041">
        <w:rPr>
          <w:sz w:val="18"/>
          <w:szCs w:val="18"/>
          <w:lang w:val="en-GB"/>
        </w:rPr>
        <w:t>materiality</w:t>
      </w:r>
      <w:r w:rsidR="00F70FFC" w:rsidRPr="00585041">
        <w:rPr>
          <w:sz w:val="18"/>
          <w:szCs w:val="18"/>
          <w:lang w:val="en-GB"/>
        </w:rPr>
        <w:t xml:space="preserve"> of the issues of financial statement and the acceptance level of error. </w:t>
      </w:r>
    </w:p>
    <w:p w14:paraId="04A4BA94" w14:textId="12C02ED1" w:rsidR="0089006F" w:rsidRPr="00585041" w:rsidRDefault="0089006F" w:rsidP="00812B72">
      <w:pPr>
        <w:tabs>
          <w:tab w:val="left" w:pos="708"/>
        </w:tabs>
        <w:jc w:val="both"/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 xml:space="preserve">The auditing is based on evidence, </w:t>
      </w:r>
      <w:r w:rsidRPr="00585041">
        <w:rPr>
          <w:i/>
          <w:sz w:val="18"/>
          <w:szCs w:val="18"/>
          <w:lang w:val="en-GB"/>
        </w:rPr>
        <w:t>i.e.</w:t>
      </w:r>
      <w:r w:rsidRPr="00585041">
        <w:rPr>
          <w:sz w:val="18"/>
          <w:szCs w:val="18"/>
          <w:lang w:val="en-GB"/>
        </w:rPr>
        <w:t xml:space="preserve"> on an </w:t>
      </w:r>
      <w:r w:rsidR="00C606E0" w:rsidRPr="00585041">
        <w:rPr>
          <w:sz w:val="18"/>
          <w:szCs w:val="18"/>
          <w:lang w:val="en-GB"/>
        </w:rPr>
        <w:t>document</w:t>
      </w:r>
      <w:r w:rsidRPr="00585041">
        <w:rPr>
          <w:sz w:val="18"/>
          <w:szCs w:val="18"/>
          <w:lang w:val="en-GB"/>
        </w:rPr>
        <w:t xml:space="preserve"> system to support the auditor, such as checklists, questionnaires, work papers, all documents that will be analysed and used during the course.</w:t>
      </w:r>
    </w:p>
    <w:p w14:paraId="3E966D79" w14:textId="77777777" w:rsidR="00F70FFC" w:rsidRPr="00585041" w:rsidRDefault="0089006F" w:rsidP="00812B72">
      <w:pPr>
        <w:tabs>
          <w:tab w:val="left" w:pos="708"/>
        </w:tabs>
        <w:jc w:val="both"/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 xml:space="preserve">Finally there is a section concerning the role of the auditor as </w:t>
      </w:r>
      <w:r w:rsidR="0068165E" w:rsidRPr="00585041">
        <w:rPr>
          <w:sz w:val="18"/>
          <w:szCs w:val="18"/>
          <w:lang w:val="en-GB"/>
        </w:rPr>
        <w:t>expertise</w:t>
      </w:r>
      <w:r w:rsidRPr="00585041">
        <w:rPr>
          <w:sz w:val="18"/>
          <w:szCs w:val="18"/>
          <w:lang w:val="en-GB"/>
        </w:rPr>
        <w:t xml:space="preserve"> in M&amp;A operations and due diligence.</w:t>
      </w:r>
    </w:p>
    <w:p w14:paraId="2BF28D28" w14:textId="77777777" w:rsidR="002E500C" w:rsidRPr="00585041" w:rsidRDefault="002E500C" w:rsidP="00812B72">
      <w:pPr>
        <w:jc w:val="both"/>
        <w:rPr>
          <w:sz w:val="18"/>
          <w:szCs w:val="18"/>
          <w:lang w:val="en-GB"/>
        </w:rPr>
      </w:pPr>
    </w:p>
    <w:p w14:paraId="131DF4FA" w14:textId="77777777" w:rsidR="005E4A3E" w:rsidRPr="00585041" w:rsidRDefault="008327E5" w:rsidP="00812B72">
      <w:pPr>
        <w:rPr>
          <w:b/>
          <w:i/>
          <w:smallCaps/>
          <w:sz w:val="18"/>
          <w:szCs w:val="18"/>
          <w:lang w:val="en-US"/>
        </w:rPr>
      </w:pPr>
      <w:r w:rsidRPr="00585041">
        <w:rPr>
          <w:b/>
          <w:i/>
          <w:smallCaps/>
          <w:sz w:val="18"/>
          <w:szCs w:val="18"/>
          <w:lang w:val="en-US"/>
        </w:rPr>
        <w:t>Learning outcomes</w:t>
      </w:r>
    </w:p>
    <w:p w14:paraId="0278C7F5" w14:textId="51418832" w:rsidR="00B513A1" w:rsidRPr="00585041" w:rsidRDefault="00B513A1" w:rsidP="00CF6F14">
      <w:pPr>
        <w:jc w:val="both"/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>At the end of the course, in terms of the knowledge and understanding, the student will be able to:</w:t>
      </w:r>
    </w:p>
    <w:p w14:paraId="7F4BCC32" w14:textId="1760E631" w:rsidR="002E500C" w:rsidRPr="00585041" w:rsidRDefault="00B513A1" w:rsidP="00812B72">
      <w:pPr>
        <w:numPr>
          <w:ilvl w:val="0"/>
          <w:numId w:val="3"/>
        </w:numPr>
        <w:tabs>
          <w:tab w:val="num" w:pos="142"/>
          <w:tab w:val="left" w:pos="284"/>
        </w:tabs>
        <w:spacing w:line="240" w:lineRule="exact"/>
        <w:ind w:left="0" w:firstLine="0"/>
        <w:jc w:val="both"/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>U</w:t>
      </w:r>
      <w:r w:rsidR="002E500C" w:rsidRPr="00585041">
        <w:rPr>
          <w:sz w:val="18"/>
          <w:szCs w:val="18"/>
          <w:lang w:val="en-GB"/>
        </w:rPr>
        <w:t>nderstand and identify the main audit techniques.</w:t>
      </w:r>
    </w:p>
    <w:p w14:paraId="19E58EE8" w14:textId="0F4B4BBC" w:rsidR="002E500C" w:rsidRPr="00585041" w:rsidRDefault="00B513A1" w:rsidP="00812B72">
      <w:pPr>
        <w:numPr>
          <w:ilvl w:val="0"/>
          <w:numId w:val="3"/>
        </w:numPr>
        <w:tabs>
          <w:tab w:val="num" w:pos="142"/>
          <w:tab w:val="left" w:pos="284"/>
        </w:tabs>
        <w:spacing w:line="240" w:lineRule="exact"/>
        <w:ind w:left="0" w:firstLine="0"/>
        <w:jc w:val="both"/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>U</w:t>
      </w:r>
      <w:r w:rsidR="002E500C" w:rsidRPr="00585041">
        <w:rPr>
          <w:sz w:val="18"/>
          <w:szCs w:val="18"/>
          <w:lang w:val="en-GB"/>
        </w:rPr>
        <w:t xml:space="preserve">nderstand and identify the main types and characteristics of audit reports (appointed by law) issued by auditors to conclusion of their analysis. </w:t>
      </w:r>
    </w:p>
    <w:p w14:paraId="16A80DC3" w14:textId="77777777" w:rsidR="0089006F" w:rsidRPr="00585041" w:rsidRDefault="0089006F" w:rsidP="00812B72">
      <w:pPr>
        <w:rPr>
          <w:sz w:val="18"/>
          <w:szCs w:val="18"/>
          <w:lang w:val="en-GB"/>
        </w:rPr>
      </w:pPr>
    </w:p>
    <w:p w14:paraId="26B4994B" w14:textId="77777777" w:rsidR="00B513A1" w:rsidRPr="00585041" w:rsidRDefault="00B513A1" w:rsidP="00B513A1">
      <w:pPr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>At the end of the course, in terms of the ability to apply the acquired knowledge mentioned above, the student will be able to:</w:t>
      </w:r>
    </w:p>
    <w:p w14:paraId="7969887E" w14:textId="6AAD4169" w:rsidR="00B513A1" w:rsidRPr="00585041" w:rsidRDefault="00B513A1" w:rsidP="00B513A1">
      <w:pPr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>- Choose the most suitable auditing techniques for the client company's case study.</w:t>
      </w:r>
    </w:p>
    <w:p w14:paraId="60A63718" w14:textId="5F69A02E" w:rsidR="00B513A1" w:rsidRPr="00585041" w:rsidRDefault="00B513A1" w:rsidP="00B513A1">
      <w:pPr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>- Choose the most suitable driver of the value of the defined financial statements, on which to base the calculation of significance.</w:t>
      </w:r>
    </w:p>
    <w:p w14:paraId="639C6E28" w14:textId="77777777" w:rsidR="00B513A1" w:rsidRPr="00585041" w:rsidRDefault="00B513A1" w:rsidP="00B513A1">
      <w:pPr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>- Define the most suitable professional judgement for the synthesis of the audit work.</w:t>
      </w:r>
    </w:p>
    <w:p w14:paraId="5E615A98" w14:textId="77777777" w:rsidR="00B513A1" w:rsidRPr="00585041" w:rsidRDefault="00B513A1" w:rsidP="00812B72">
      <w:pPr>
        <w:rPr>
          <w:sz w:val="18"/>
          <w:szCs w:val="18"/>
          <w:lang w:val="en-GB"/>
        </w:rPr>
      </w:pPr>
    </w:p>
    <w:p w14:paraId="6E1C51BB" w14:textId="77777777" w:rsidR="009A491F" w:rsidRPr="00585041" w:rsidRDefault="002E500C" w:rsidP="009A491F">
      <w:pPr>
        <w:jc w:val="both"/>
        <w:rPr>
          <w:sz w:val="18"/>
          <w:szCs w:val="18"/>
        </w:rPr>
      </w:pPr>
      <w:r w:rsidRPr="00585041">
        <w:rPr>
          <w:sz w:val="18"/>
          <w:szCs w:val="18"/>
          <w:lang w:val="en-GB"/>
        </w:rPr>
        <w:t xml:space="preserve">With regard to the whole programme, the in-depth study of the models and methods of reference will be elaborated on examples, analyses and discussion of case study, to propose solutions to significant and recurring audit problems. </w:t>
      </w:r>
      <w:r w:rsidR="009A491F" w:rsidRPr="00585041">
        <w:rPr>
          <w:sz w:val="18"/>
          <w:szCs w:val="18"/>
        </w:rPr>
        <w:t xml:space="preserve">Tale corso si colloca a conclusione di un percorso accademico avanzato e improntato alla prassi professionale e per tale motivo a fine corso il discente godrà di </w:t>
      </w:r>
      <w:r w:rsidR="009A491F" w:rsidRPr="00585041">
        <w:rPr>
          <w:i/>
          <w:sz w:val="18"/>
          <w:szCs w:val="18"/>
        </w:rPr>
        <w:t>a</w:t>
      </w:r>
      <w:r w:rsidR="009A491F" w:rsidRPr="00585041">
        <w:rPr>
          <w:sz w:val="18"/>
          <w:szCs w:val="18"/>
        </w:rPr>
        <w:t xml:space="preserve">. autonomia di giudizio in tema di apprezzamento della continuità aziendale, </w:t>
      </w:r>
      <w:r w:rsidR="009A491F" w:rsidRPr="00585041">
        <w:rPr>
          <w:i/>
          <w:sz w:val="18"/>
          <w:szCs w:val="18"/>
        </w:rPr>
        <w:t>going concern</w:t>
      </w:r>
      <w:r w:rsidR="009A491F" w:rsidRPr="00585041">
        <w:rPr>
          <w:sz w:val="18"/>
          <w:szCs w:val="18"/>
        </w:rPr>
        <w:t xml:space="preserve">, e delle tecniche di </w:t>
      </w:r>
      <w:r w:rsidR="009A491F" w:rsidRPr="00585041">
        <w:rPr>
          <w:i/>
          <w:sz w:val="18"/>
          <w:szCs w:val="18"/>
        </w:rPr>
        <w:t>risk approach</w:t>
      </w:r>
      <w:r w:rsidR="009A491F" w:rsidRPr="00585041">
        <w:rPr>
          <w:sz w:val="18"/>
          <w:szCs w:val="18"/>
        </w:rPr>
        <w:t xml:space="preserve"> e </w:t>
      </w:r>
      <w:r w:rsidR="009A491F" w:rsidRPr="00585041">
        <w:rPr>
          <w:i/>
          <w:sz w:val="18"/>
          <w:szCs w:val="18"/>
        </w:rPr>
        <w:t>materiality</w:t>
      </w:r>
      <w:r w:rsidR="009A491F" w:rsidRPr="00585041">
        <w:rPr>
          <w:sz w:val="18"/>
          <w:szCs w:val="18"/>
        </w:rPr>
        <w:t xml:space="preserve">; </w:t>
      </w:r>
      <w:r w:rsidR="009A491F" w:rsidRPr="00585041">
        <w:rPr>
          <w:i/>
          <w:sz w:val="18"/>
          <w:szCs w:val="18"/>
        </w:rPr>
        <w:t>b</w:t>
      </w:r>
      <w:r w:rsidR="009A491F" w:rsidRPr="00585041">
        <w:rPr>
          <w:sz w:val="18"/>
          <w:szCs w:val="18"/>
        </w:rPr>
        <w:t xml:space="preserve">. capacità di comunicazione e di redazione del processo di revisione in una relazione di sintesi, e </w:t>
      </w:r>
      <w:r w:rsidR="009A491F" w:rsidRPr="00585041">
        <w:rPr>
          <w:i/>
          <w:sz w:val="18"/>
          <w:szCs w:val="18"/>
        </w:rPr>
        <w:t>c</w:t>
      </w:r>
      <w:r w:rsidR="009A491F" w:rsidRPr="00585041">
        <w:rPr>
          <w:sz w:val="18"/>
          <w:szCs w:val="18"/>
        </w:rPr>
        <w:t>. formulare raccomandazioni al management in tema di adeguati assetti organizzativi, amministrativi e di controllo interno.</w:t>
      </w:r>
    </w:p>
    <w:p w14:paraId="4F786067" w14:textId="77777777" w:rsidR="009A491F" w:rsidRPr="00585041" w:rsidRDefault="009A491F" w:rsidP="009A491F">
      <w:pPr>
        <w:spacing w:before="240" w:after="120"/>
        <w:rPr>
          <w:b/>
          <w:i/>
          <w:sz w:val="18"/>
          <w:szCs w:val="18"/>
        </w:rPr>
      </w:pPr>
    </w:p>
    <w:p w14:paraId="48249D26" w14:textId="77777777" w:rsidR="002E500C" w:rsidRPr="00303A89" w:rsidRDefault="002E500C" w:rsidP="00812B72">
      <w:pPr>
        <w:jc w:val="both"/>
        <w:rPr>
          <w:sz w:val="18"/>
          <w:szCs w:val="18"/>
        </w:rPr>
      </w:pPr>
    </w:p>
    <w:p w14:paraId="3FAD9432" w14:textId="76F0A2A6" w:rsidR="008327E5" w:rsidRDefault="008327E5" w:rsidP="00812B72">
      <w:pPr>
        <w:rPr>
          <w:b/>
          <w:sz w:val="18"/>
          <w:szCs w:val="18"/>
        </w:rPr>
      </w:pPr>
    </w:p>
    <w:p w14:paraId="089CC41A" w14:textId="77777777" w:rsidR="00B2615A" w:rsidRPr="00303A89" w:rsidRDefault="00B2615A" w:rsidP="00812B72">
      <w:pPr>
        <w:rPr>
          <w:b/>
          <w:sz w:val="18"/>
          <w:szCs w:val="18"/>
        </w:rPr>
      </w:pPr>
    </w:p>
    <w:p w14:paraId="06509816" w14:textId="77777777" w:rsidR="005E4A3E" w:rsidRPr="00585041" w:rsidRDefault="005E4A3E" w:rsidP="00812B72">
      <w:pPr>
        <w:pStyle w:val="Normale1"/>
        <w:spacing w:after="120" w:line="240" w:lineRule="exact"/>
        <w:outlineLvl w:val="0"/>
        <w:rPr>
          <w:rFonts w:ascii="Times New Roman" w:hAnsi="Times New Roman"/>
          <w:b/>
          <w:i/>
          <w:sz w:val="18"/>
          <w:szCs w:val="18"/>
          <w:lang w:val="en-US"/>
        </w:rPr>
      </w:pPr>
      <w:r w:rsidRPr="00585041">
        <w:rPr>
          <w:rFonts w:ascii="Times New Roman" w:hAnsi="Times New Roman"/>
          <w:b/>
          <w:i/>
          <w:sz w:val="18"/>
          <w:szCs w:val="18"/>
          <w:lang w:val="en-US"/>
        </w:rPr>
        <w:lastRenderedPageBreak/>
        <w:t>COURSE CONTENT</w:t>
      </w:r>
    </w:p>
    <w:p w14:paraId="3D13EA7C" w14:textId="5C665019" w:rsidR="009A491F" w:rsidRPr="00585041" w:rsidRDefault="009A491F" w:rsidP="009A491F">
      <w:pPr>
        <w:numPr>
          <w:ilvl w:val="0"/>
          <w:numId w:val="4"/>
        </w:numPr>
        <w:tabs>
          <w:tab w:val="left" w:pos="142"/>
          <w:tab w:val="num" w:pos="360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585041">
        <w:rPr>
          <w:sz w:val="18"/>
          <w:szCs w:val="18"/>
        </w:rPr>
        <w:t>La normativa di riferimento e i principi internazionali di revisione, ISA.</w:t>
      </w:r>
    </w:p>
    <w:p w14:paraId="5CE7299B" w14:textId="0DC44190" w:rsidR="002E500C" w:rsidRPr="00585041" w:rsidRDefault="002E500C" w:rsidP="00812B72">
      <w:pPr>
        <w:numPr>
          <w:ilvl w:val="0"/>
          <w:numId w:val="4"/>
        </w:numPr>
        <w:tabs>
          <w:tab w:val="left" w:pos="284"/>
          <w:tab w:val="num" w:pos="360"/>
        </w:tabs>
        <w:spacing w:line="240" w:lineRule="exact"/>
        <w:ind w:left="0" w:firstLine="0"/>
        <w:jc w:val="both"/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 xml:space="preserve">The audit risk model and the preliminary evaluation of significance. The pricing of the inherent risk. </w:t>
      </w:r>
    </w:p>
    <w:p w14:paraId="2B340BB0" w14:textId="77777777" w:rsidR="002E500C" w:rsidRPr="00CD4DDF" w:rsidRDefault="002E500C" w:rsidP="00812B72">
      <w:pPr>
        <w:numPr>
          <w:ilvl w:val="0"/>
          <w:numId w:val="4"/>
        </w:numPr>
        <w:tabs>
          <w:tab w:val="left" w:pos="284"/>
        </w:tabs>
        <w:spacing w:line="240" w:lineRule="exact"/>
        <w:ind w:left="0" w:firstLine="0"/>
        <w:jc w:val="both"/>
        <w:rPr>
          <w:sz w:val="18"/>
          <w:szCs w:val="18"/>
          <w:lang w:val="en-GB"/>
        </w:rPr>
      </w:pPr>
      <w:r w:rsidRPr="00585041">
        <w:rPr>
          <w:sz w:val="18"/>
          <w:szCs w:val="18"/>
          <w:lang w:val="en-GB"/>
        </w:rPr>
        <w:t>The accounting/administrative internal control system. The evaluation of risk</w:t>
      </w:r>
      <w:r w:rsidRPr="00CD4DDF">
        <w:rPr>
          <w:sz w:val="18"/>
          <w:szCs w:val="18"/>
          <w:lang w:val="en-GB"/>
        </w:rPr>
        <w:t xml:space="preserve"> of general and specific control of the operating cycles.</w:t>
      </w:r>
    </w:p>
    <w:p w14:paraId="06B13A81" w14:textId="2A079486" w:rsidR="002E500C" w:rsidRPr="00CD4DDF" w:rsidRDefault="002E500C" w:rsidP="00812B72">
      <w:pPr>
        <w:numPr>
          <w:ilvl w:val="0"/>
          <w:numId w:val="4"/>
        </w:numPr>
        <w:tabs>
          <w:tab w:val="left" w:pos="284"/>
        </w:tabs>
        <w:spacing w:line="240" w:lineRule="exact"/>
        <w:ind w:left="0" w:firstLine="0"/>
        <w:jc w:val="both"/>
        <w:rPr>
          <w:sz w:val="18"/>
          <w:szCs w:val="18"/>
          <w:lang w:val="en-GB"/>
        </w:rPr>
      </w:pPr>
      <w:r w:rsidRPr="00CD4DDF">
        <w:rPr>
          <w:sz w:val="18"/>
          <w:szCs w:val="18"/>
          <w:lang w:val="en-GB"/>
        </w:rPr>
        <w:t>The instrumentation to support the auditing: the means for documenting the work; the representation and analysis of the administrative process; subjective and statistical sampling techniques (overview); the IT audit (overview).</w:t>
      </w:r>
    </w:p>
    <w:p w14:paraId="581E18FD" w14:textId="77777777" w:rsidR="002E500C" w:rsidRPr="00B2615A" w:rsidRDefault="002E500C" w:rsidP="00812B72">
      <w:pPr>
        <w:numPr>
          <w:ilvl w:val="0"/>
          <w:numId w:val="4"/>
        </w:numPr>
        <w:tabs>
          <w:tab w:val="left" w:pos="284"/>
        </w:tabs>
        <w:spacing w:line="240" w:lineRule="exact"/>
        <w:ind w:left="0" w:firstLine="0"/>
        <w:jc w:val="both"/>
        <w:rPr>
          <w:sz w:val="18"/>
          <w:szCs w:val="18"/>
          <w:lang w:val="en-GB"/>
        </w:rPr>
      </w:pPr>
      <w:r w:rsidRPr="00B2615A">
        <w:rPr>
          <w:sz w:val="18"/>
          <w:szCs w:val="18"/>
          <w:lang w:val="en-GB"/>
        </w:rPr>
        <w:t xml:space="preserve">The conclusion of the audit process: the final pricing of audit risk and the evaluations of significance, adjustments and reclassifications proposed to senior management, the audit report. </w:t>
      </w:r>
    </w:p>
    <w:p w14:paraId="0AF4F971" w14:textId="77777777" w:rsidR="00CF6F14" w:rsidRPr="00B2615A" w:rsidRDefault="00CF6F14" w:rsidP="00CF6F14">
      <w:pPr>
        <w:tabs>
          <w:tab w:val="left" w:pos="284"/>
        </w:tabs>
        <w:spacing w:line="240" w:lineRule="exact"/>
        <w:jc w:val="both"/>
        <w:rPr>
          <w:sz w:val="18"/>
          <w:szCs w:val="18"/>
          <w:lang w:val="en-GB"/>
        </w:rPr>
      </w:pPr>
    </w:p>
    <w:p w14:paraId="4D8C93D6" w14:textId="77777777" w:rsidR="00303A89" w:rsidRPr="00B2615A" w:rsidRDefault="00303A89" w:rsidP="00303A89">
      <w:pPr>
        <w:pStyle w:val="P68B1DB1-Normale10"/>
        <w:spacing w:after="120"/>
        <w:rPr>
          <w:highlight w:val="none"/>
        </w:rPr>
      </w:pPr>
      <w:r w:rsidRPr="00B2615A">
        <w:rPr>
          <w:highlight w:val="none"/>
        </w:rPr>
        <w:t>READING LIST</w:t>
      </w:r>
    </w:p>
    <w:p w14:paraId="25104492" w14:textId="12442B69" w:rsidR="00303A89" w:rsidRPr="00B2615A" w:rsidRDefault="0062411A" w:rsidP="00303A89">
      <w:pPr>
        <w:pStyle w:val="P68B1DB1-Normale2"/>
        <w:rPr>
          <w:smallCaps/>
          <w:highlight w:val="none"/>
        </w:rPr>
      </w:pPr>
      <w:r>
        <w:rPr>
          <w:smallCaps/>
          <w:highlight w:val="none"/>
        </w:rPr>
        <w:t>AM Fellegara (</w:t>
      </w:r>
      <w:r w:rsidRPr="0062411A">
        <w:rPr>
          <w:highlight w:val="none"/>
        </w:rPr>
        <w:t>edited by</w:t>
      </w:r>
      <w:r w:rsidR="00303A89" w:rsidRPr="00B2615A">
        <w:rPr>
          <w:smallCaps/>
          <w:highlight w:val="none"/>
        </w:rPr>
        <w:t>)</w:t>
      </w:r>
      <w:r w:rsidR="00303A89" w:rsidRPr="00B2615A">
        <w:rPr>
          <w:i/>
          <w:highlight w:val="none"/>
        </w:rPr>
        <w:t xml:space="preserve"> Manuale di Revisione Legale. Logiche e strumenti</w:t>
      </w:r>
      <w:r>
        <w:rPr>
          <w:highlight w:val="none"/>
        </w:rPr>
        <w:t>, Giappichelli, Turin (last</w:t>
      </w:r>
      <w:bookmarkStart w:id="0" w:name="_GoBack"/>
      <w:bookmarkEnd w:id="0"/>
      <w:r>
        <w:rPr>
          <w:highlight w:val="none"/>
        </w:rPr>
        <w:t xml:space="preserve"> edition)</w:t>
      </w:r>
    </w:p>
    <w:p w14:paraId="7C2367FB" w14:textId="77777777" w:rsidR="00303A89" w:rsidRPr="00B2615A" w:rsidRDefault="00303A89" w:rsidP="00303A89">
      <w:pPr>
        <w:tabs>
          <w:tab w:val="left" w:pos="708"/>
        </w:tabs>
        <w:spacing w:line="220" w:lineRule="exact"/>
        <w:rPr>
          <w:sz w:val="18"/>
        </w:rPr>
      </w:pPr>
    </w:p>
    <w:p w14:paraId="75590B4E" w14:textId="77777777" w:rsidR="00303A89" w:rsidRPr="00B2615A" w:rsidRDefault="00303A89" w:rsidP="00303A89">
      <w:pPr>
        <w:pStyle w:val="P68B1DB1-Normale2"/>
        <w:tabs>
          <w:tab w:val="left" w:pos="708"/>
        </w:tabs>
        <w:spacing w:line="220" w:lineRule="exact"/>
        <w:rPr>
          <w:highlight w:val="none"/>
        </w:rPr>
      </w:pPr>
      <w:r w:rsidRPr="00B2615A">
        <w:rPr>
          <w:highlight w:val="none"/>
        </w:rPr>
        <w:t xml:space="preserve">Recommended readings: </w:t>
      </w:r>
    </w:p>
    <w:p w14:paraId="7413AABD" w14:textId="77777777" w:rsidR="00303A89" w:rsidRPr="00B2615A" w:rsidRDefault="00303A89" w:rsidP="00303A89">
      <w:pPr>
        <w:pStyle w:val="P68B1DB1-Testo111"/>
        <w:spacing w:line="240" w:lineRule="exact"/>
        <w:rPr>
          <w:highlight w:val="none"/>
        </w:rPr>
      </w:pPr>
      <w:r w:rsidRPr="00B2615A">
        <w:rPr>
          <w:highlight w:val="none"/>
        </w:rPr>
        <w:t>CNDCEC, methodological approach to the statutory audit entrusted to the Board of Statutory Auditors in smaller companies, April 2018.</w:t>
      </w:r>
    </w:p>
    <w:p w14:paraId="318A1B28" w14:textId="77777777" w:rsidR="00303A89" w:rsidRPr="00B2615A" w:rsidRDefault="00303A89" w:rsidP="00303A89">
      <w:pPr>
        <w:pStyle w:val="P68B1DB1-Testo112"/>
        <w:spacing w:line="240" w:lineRule="exact"/>
        <w:rPr>
          <w:rFonts w:ascii="Times New Roman" w:hAnsi="Times New Roman"/>
          <w:smallCaps/>
          <w:highlight w:val="none"/>
        </w:rPr>
      </w:pPr>
      <w:r w:rsidRPr="00B2615A">
        <w:rPr>
          <w:smallCaps/>
          <w:highlight w:val="none"/>
        </w:rPr>
        <w:t>MA Marinoni,</w:t>
      </w:r>
      <w:r w:rsidRPr="00B2615A">
        <w:rPr>
          <w:i/>
          <w:highlight w:val="none"/>
        </w:rPr>
        <w:t xml:space="preserve"> Revisione Legale dei Conti e Risk Approach,</w:t>
      </w:r>
      <w:r w:rsidRPr="00B2615A">
        <w:rPr>
          <w:highlight w:val="none"/>
        </w:rPr>
        <w:t xml:space="preserve"> e.book, Giappichelli, Turin, 2015.</w:t>
      </w:r>
    </w:p>
    <w:p w14:paraId="1A40A92C" w14:textId="77777777" w:rsidR="00303A89" w:rsidRPr="00B2615A" w:rsidRDefault="00303A89" w:rsidP="00303A89">
      <w:pPr>
        <w:pStyle w:val="P68B1DB1-Testo113"/>
        <w:spacing w:line="240" w:lineRule="exact"/>
        <w:rPr>
          <w:highlight w:val="none"/>
        </w:rPr>
      </w:pPr>
      <w:r w:rsidRPr="00B2615A">
        <w:rPr>
          <w:smallCaps/>
          <w:highlight w:val="none"/>
        </w:rPr>
        <w:t>Bauer R.</w:t>
      </w:r>
      <w:r w:rsidRPr="00B2615A">
        <w:rPr>
          <w:highlight w:val="none"/>
        </w:rPr>
        <w:t xml:space="preserve">, </w:t>
      </w:r>
      <w:r w:rsidRPr="00B2615A">
        <w:rPr>
          <w:i/>
          <w:highlight w:val="none"/>
        </w:rPr>
        <w:t>La revisione legale. Tecniche e procedure</w:t>
      </w:r>
      <w:r w:rsidRPr="00B2615A">
        <w:rPr>
          <w:highlight w:val="none"/>
        </w:rPr>
        <w:t>, Maggioli Editore. Collana Professionisti &amp; Imprese, 2015.</w:t>
      </w:r>
    </w:p>
    <w:p w14:paraId="3DA6B615" w14:textId="77777777" w:rsidR="00303A89" w:rsidRPr="00B2615A" w:rsidRDefault="00303A89" w:rsidP="00303A89">
      <w:pPr>
        <w:pStyle w:val="P68B1DB1-Normale2"/>
        <w:tabs>
          <w:tab w:val="left" w:pos="708"/>
        </w:tabs>
        <w:rPr>
          <w:highlight w:val="none"/>
        </w:rPr>
      </w:pPr>
      <w:r w:rsidRPr="00B2615A">
        <w:rPr>
          <w:highlight w:val="none"/>
        </w:rPr>
        <w:t xml:space="preserve">M. </w:t>
      </w:r>
      <w:r w:rsidRPr="00B2615A">
        <w:rPr>
          <w:smallCaps/>
          <w:highlight w:val="none"/>
        </w:rPr>
        <w:t xml:space="preserve">Livatino-N. Pecchiari-G. Pogliani, </w:t>
      </w:r>
      <w:r w:rsidRPr="00B2615A">
        <w:rPr>
          <w:i/>
          <w:highlight w:val="none"/>
        </w:rPr>
        <w:t xml:space="preserve">Principi e metodologie di auditing, </w:t>
      </w:r>
      <w:r w:rsidRPr="00B2615A">
        <w:rPr>
          <w:highlight w:val="none"/>
        </w:rPr>
        <w:t>Egea, Milan, 2012.</w:t>
      </w:r>
    </w:p>
    <w:p w14:paraId="3FA406D7" w14:textId="77777777" w:rsidR="00303A89" w:rsidRPr="00B2615A" w:rsidRDefault="00303A89" w:rsidP="00303A89">
      <w:pPr>
        <w:pStyle w:val="P68B1DB1-Normale2"/>
        <w:tabs>
          <w:tab w:val="left" w:pos="708"/>
        </w:tabs>
        <w:rPr>
          <w:highlight w:val="none"/>
        </w:rPr>
      </w:pPr>
      <w:r w:rsidRPr="00B2615A">
        <w:rPr>
          <w:smallCaps/>
          <w:highlight w:val="none"/>
        </w:rPr>
        <w:t>L. Marchi,</w:t>
      </w:r>
      <w:r w:rsidRPr="00B2615A">
        <w:rPr>
          <w:i/>
          <w:highlight w:val="none"/>
        </w:rPr>
        <w:t xml:space="preserve"> Revisione aziendale e sistemi di controllo interno,</w:t>
      </w:r>
      <w:r w:rsidRPr="00B2615A">
        <w:rPr>
          <w:highlight w:val="none"/>
        </w:rPr>
        <w:t xml:space="preserve"> Giuffrè, Milan, 2012.</w:t>
      </w:r>
    </w:p>
    <w:p w14:paraId="3F43E27D" w14:textId="77777777" w:rsidR="00B87A20" w:rsidRPr="00B2615A" w:rsidRDefault="00B87A20" w:rsidP="00812B72">
      <w:pPr>
        <w:tabs>
          <w:tab w:val="left" w:pos="708"/>
        </w:tabs>
        <w:rPr>
          <w:noProof/>
          <w:spacing w:val="-5"/>
          <w:sz w:val="18"/>
          <w:szCs w:val="18"/>
        </w:rPr>
      </w:pPr>
    </w:p>
    <w:p w14:paraId="0FAE4696" w14:textId="77777777" w:rsidR="005E4A3E" w:rsidRPr="00CD4DDF" w:rsidRDefault="005E4A3E" w:rsidP="00812B72">
      <w:pPr>
        <w:pStyle w:val="Normale1"/>
        <w:spacing w:after="120"/>
        <w:jc w:val="both"/>
        <w:outlineLvl w:val="0"/>
        <w:rPr>
          <w:rFonts w:ascii="Times New Roman" w:hAnsi="Times New Roman"/>
          <w:b/>
          <w:i/>
          <w:sz w:val="18"/>
          <w:szCs w:val="18"/>
          <w:lang w:val="en-US"/>
        </w:rPr>
      </w:pPr>
      <w:r w:rsidRPr="00B2615A">
        <w:rPr>
          <w:rFonts w:ascii="Times New Roman" w:hAnsi="Times New Roman"/>
          <w:b/>
          <w:i/>
          <w:sz w:val="18"/>
          <w:szCs w:val="18"/>
          <w:lang w:val="en-US"/>
        </w:rPr>
        <w:t>TEACHING METHOD</w:t>
      </w:r>
    </w:p>
    <w:p w14:paraId="2BD6A616" w14:textId="44D50E91" w:rsidR="002E500C" w:rsidRPr="00CD4DDF" w:rsidRDefault="002E500C" w:rsidP="00812B72">
      <w:pPr>
        <w:tabs>
          <w:tab w:val="left" w:pos="708"/>
        </w:tabs>
        <w:spacing w:line="220" w:lineRule="exact"/>
        <w:rPr>
          <w:rFonts w:eastAsia="Arial Unicode MS"/>
          <w:sz w:val="18"/>
          <w:szCs w:val="18"/>
          <w:lang w:val="en-GB"/>
        </w:rPr>
      </w:pPr>
      <w:r w:rsidRPr="00CD4DDF">
        <w:rPr>
          <w:rFonts w:eastAsia="Arial Unicode MS"/>
          <w:sz w:val="18"/>
          <w:szCs w:val="18"/>
          <w:lang w:val="en-GB"/>
        </w:rPr>
        <w:t xml:space="preserve">The course will be taught through lectures about theory and </w:t>
      </w:r>
      <w:r w:rsidR="003F45F5" w:rsidRPr="00CD4DDF">
        <w:rPr>
          <w:rFonts w:eastAsia="Arial Unicode MS"/>
          <w:sz w:val="18"/>
          <w:szCs w:val="18"/>
          <w:lang w:val="en-GB"/>
        </w:rPr>
        <w:t>company experiences</w:t>
      </w:r>
      <w:r w:rsidR="009A491F">
        <w:rPr>
          <w:rFonts w:eastAsia="Arial Unicode MS"/>
          <w:sz w:val="18"/>
          <w:szCs w:val="18"/>
          <w:lang w:val="en-GB"/>
        </w:rPr>
        <w:t xml:space="preserve"> and role playing</w:t>
      </w:r>
      <w:r w:rsidRPr="00CD4DDF">
        <w:rPr>
          <w:rFonts w:eastAsia="Arial Unicode MS"/>
          <w:sz w:val="18"/>
          <w:szCs w:val="18"/>
          <w:lang w:val="en-GB"/>
        </w:rPr>
        <w:t>.</w:t>
      </w:r>
    </w:p>
    <w:p w14:paraId="64AE594E" w14:textId="77777777" w:rsidR="00B87A20" w:rsidRPr="00CD4DDF" w:rsidRDefault="00B87A20" w:rsidP="00812B72">
      <w:pPr>
        <w:tabs>
          <w:tab w:val="left" w:pos="708"/>
        </w:tabs>
        <w:spacing w:line="220" w:lineRule="exact"/>
        <w:rPr>
          <w:rFonts w:eastAsia="Arial Unicode MS"/>
          <w:sz w:val="18"/>
          <w:szCs w:val="18"/>
          <w:lang w:val="en-GB"/>
        </w:rPr>
      </w:pPr>
    </w:p>
    <w:p w14:paraId="45DE52D1" w14:textId="5062B823" w:rsidR="005E4A3E" w:rsidRPr="00CD4DDF" w:rsidRDefault="005E4A3E" w:rsidP="00812B72">
      <w:pPr>
        <w:pStyle w:val="Normale1"/>
        <w:spacing w:after="120"/>
        <w:outlineLvl w:val="0"/>
        <w:rPr>
          <w:rFonts w:ascii="Times New Roman" w:hAnsi="Times New Roman"/>
          <w:b/>
          <w:i/>
          <w:sz w:val="18"/>
          <w:szCs w:val="18"/>
          <w:lang w:val="en-US"/>
        </w:rPr>
      </w:pPr>
      <w:r w:rsidRPr="00CD4DDF">
        <w:rPr>
          <w:rFonts w:ascii="Times New Roman" w:hAnsi="Times New Roman"/>
          <w:b/>
          <w:i/>
          <w:sz w:val="18"/>
          <w:szCs w:val="18"/>
          <w:lang w:val="en-US"/>
        </w:rPr>
        <w:t>ASSESSMENT METHOD</w:t>
      </w:r>
      <w:r w:rsidR="00B513A1" w:rsidRPr="00CD4DDF">
        <w:rPr>
          <w:rFonts w:ascii="Times New Roman" w:hAnsi="Times New Roman"/>
          <w:b/>
          <w:i/>
          <w:sz w:val="18"/>
          <w:szCs w:val="18"/>
          <w:lang w:val="en-US"/>
        </w:rPr>
        <w:t xml:space="preserve"> AND CRITERIA</w:t>
      </w:r>
    </w:p>
    <w:p w14:paraId="7D1BFEFA" w14:textId="2F95DE3D" w:rsidR="002F3094" w:rsidRPr="00CD4DDF" w:rsidRDefault="001F7D10" w:rsidP="00812B72">
      <w:pPr>
        <w:spacing w:line="220" w:lineRule="exact"/>
        <w:jc w:val="both"/>
        <w:rPr>
          <w:sz w:val="18"/>
          <w:szCs w:val="18"/>
          <w:lang w:val="en-GB"/>
        </w:rPr>
      </w:pPr>
      <w:r w:rsidRPr="00CD4DDF">
        <w:rPr>
          <w:sz w:val="18"/>
          <w:szCs w:val="18"/>
          <w:lang w:val="en-GB"/>
        </w:rPr>
        <w:t xml:space="preserve">The methods provided to ascertain the knowledge and skills acquired are, for the institutional content of the course, open questions and exercises through written examination. </w:t>
      </w:r>
      <w:r w:rsidR="002F3094" w:rsidRPr="00CD4DDF">
        <w:rPr>
          <w:sz w:val="18"/>
          <w:szCs w:val="18"/>
          <w:lang w:val="en-GB"/>
        </w:rPr>
        <w:t xml:space="preserve">During the course, the attending students are called to play for a team assignment on the </w:t>
      </w:r>
      <w:r w:rsidR="003F45F5" w:rsidRPr="00CD4DDF">
        <w:rPr>
          <w:sz w:val="18"/>
          <w:szCs w:val="18"/>
          <w:lang w:val="en-GB"/>
        </w:rPr>
        <w:t xml:space="preserve">reliability </w:t>
      </w:r>
      <w:r w:rsidR="002F3094" w:rsidRPr="00CD4DDF">
        <w:rPr>
          <w:sz w:val="18"/>
          <w:szCs w:val="18"/>
          <w:lang w:val="en-GB"/>
        </w:rPr>
        <w:t xml:space="preserve">analysis of one of the main national and international </w:t>
      </w:r>
      <w:r w:rsidR="003F45F5" w:rsidRPr="00CD4DDF">
        <w:rPr>
          <w:sz w:val="18"/>
          <w:szCs w:val="18"/>
          <w:lang w:val="en-GB"/>
        </w:rPr>
        <w:t>financial statement</w:t>
      </w:r>
      <w:r w:rsidR="009A491F">
        <w:rPr>
          <w:sz w:val="18"/>
          <w:szCs w:val="18"/>
          <w:lang w:val="en-GB"/>
        </w:rPr>
        <w:t xml:space="preserve"> (e.g. role-playing)</w:t>
      </w:r>
      <w:r w:rsidR="002F3094" w:rsidRPr="00CD4DDF">
        <w:rPr>
          <w:sz w:val="18"/>
          <w:szCs w:val="18"/>
          <w:lang w:val="en-GB"/>
        </w:rPr>
        <w:t xml:space="preserve">. The above-mentioned assignment, whose overall score is equal to 25% of the final grade, will be integrated with the final exam, which is written and the test consists of an exercise related to the </w:t>
      </w:r>
      <w:r w:rsidR="003F45F5" w:rsidRPr="00CD4DDF">
        <w:rPr>
          <w:sz w:val="18"/>
          <w:szCs w:val="18"/>
          <w:lang w:val="en-GB"/>
        </w:rPr>
        <w:t>main topics</w:t>
      </w:r>
      <w:r w:rsidR="002F3094" w:rsidRPr="00CD4DDF">
        <w:rPr>
          <w:sz w:val="18"/>
          <w:szCs w:val="18"/>
          <w:lang w:val="en-GB"/>
        </w:rPr>
        <w:t xml:space="preserve"> depth during the course, and a </w:t>
      </w:r>
      <w:r w:rsidR="002F3094" w:rsidRPr="00CD4DDF">
        <w:rPr>
          <w:sz w:val="18"/>
          <w:szCs w:val="18"/>
          <w:lang w:val="en-GB"/>
        </w:rPr>
        <w:lastRenderedPageBreak/>
        <w:t>theoretical question. The evaluation is as follows: the exercise gives a maximum score of 25/30 points, while the theoretical query gives a maximum score of 5/30 points. For attending students that they had supported the assignment, the final exam is weighted to a 75%. The duration is 90 minutes.</w:t>
      </w:r>
    </w:p>
    <w:p w14:paraId="3611C1F8" w14:textId="77777777" w:rsidR="00461BD5" w:rsidRPr="00CD4DDF" w:rsidRDefault="002F3094" w:rsidP="00812B72">
      <w:pPr>
        <w:pStyle w:val="Normale1"/>
        <w:spacing w:after="120"/>
        <w:jc w:val="both"/>
        <w:outlineLvl w:val="0"/>
        <w:rPr>
          <w:rFonts w:ascii="Times New Roman" w:hAnsi="Times New Roman"/>
          <w:sz w:val="18"/>
          <w:szCs w:val="18"/>
          <w:lang w:val="en-GB"/>
        </w:rPr>
      </w:pPr>
      <w:r w:rsidRPr="00CD4DDF">
        <w:rPr>
          <w:rFonts w:ascii="Times New Roman" w:hAnsi="Times New Roman"/>
          <w:sz w:val="18"/>
          <w:szCs w:val="18"/>
          <w:lang w:val="en-GB"/>
        </w:rPr>
        <w:t>The exam is designed to assess reasoning skills and analytical rigor on the themes of the course</w:t>
      </w:r>
      <w:r w:rsidR="003F45F5" w:rsidRPr="00CD4DDF">
        <w:rPr>
          <w:rFonts w:ascii="Times New Roman" w:hAnsi="Times New Roman"/>
          <w:sz w:val="18"/>
          <w:szCs w:val="18"/>
          <w:lang w:val="en-GB"/>
        </w:rPr>
        <w:t>, and properties of language</w:t>
      </w:r>
      <w:r w:rsidRPr="00CD4DDF">
        <w:rPr>
          <w:rFonts w:ascii="Times New Roman" w:hAnsi="Times New Roman"/>
          <w:sz w:val="18"/>
          <w:szCs w:val="18"/>
          <w:lang w:val="en-GB"/>
        </w:rPr>
        <w:t>.</w:t>
      </w:r>
    </w:p>
    <w:p w14:paraId="624B1864" w14:textId="4E06891D" w:rsidR="005975E3" w:rsidRPr="00CD4DDF" w:rsidRDefault="005975E3" w:rsidP="00B513A1">
      <w:pPr>
        <w:spacing w:before="240" w:after="120"/>
        <w:rPr>
          <w:b/>
          <w:i/>
          <w:sz w:val="18"/>
          <w:szCs w:val="18"/>
          <w:lang w:val="en-US"/>
        </w:rPr>
      </w:pPr>
      <w:r w:rsidRPr="00CD4DDF">
        <w:rPr>
          <w:b/>
          <w:bCs/>
          <w:i/>
          <w:sz w:val="18"/>
          <w:szCs w:val="18"/>
          <w:lang w:val="en-GB"/>
        </w:rPr>
        <w:t>NOTES</w:t>
      </w:r>
      <w:r w:rsidR="00B513A1" w:rsidRPr="00CD4DDF">
        <w:rPr>
          <w:b/>
          <w:i/>
          <w:sz w:val="18"/>
          <w:szCs w:val="18"/>
          <w:lang w:val="en-US"/>
        </w:rPr>
        <w:t xml:space="preserve"> </w:t>
      </w:r>
      <w:r w:rsidR="00B513A1" w:rsidRPr="00CD4DDF">
        <w:rPr>
          <w:b/>
          <w:bCs/>
          <w:i/>
          <w:sz w:val="18"/>
          <w:szCs w:val="18"/>
          <w:lang w:val="en-GB"/>
        </w:rPr>
        <w:t>AND PREREQUISITES</w:t>
      </w:r>
    </w:p>
    <w:p w14:paraId="14CAF357" w14:textId="0EBC4338" w:rsidR="001F7D10" w:rsidRPr="00CD4DDF" w:rsidRDefault="001F7D10" w:rsidP="00812B72">
      <w:pPr>
        <w:pStyle w:val="Testo2"/>
        <w:spacing w:before="120"/>
        <w:ind w:firstLine="0"/>
        <w:rPr>
          <w:rFonts w:ascii="Times New Roman" w:hAnsi="Times New Roman" w:cs="Times New Roman"/>
          <w:noProof w:val="0"/>
          <w:szCs w:val="18"/>
          <w:lang w:val="en-GB"/>
        </w:rPr>
      </w:pPr>
      <w:r w:rsidRPr="00CD4DDF">
        <w:rPr>
          <w:rFonts w:ascii="Times New Roman" w:hAnsi="Times New Roman" w:cs="Times New Roman"/>
          <w:noProof w:val="0"/>
          <w:szCs w:val="18"/>
          <w:lang w:val="en-GB"/>
        </w:rPr>
        <w:t>The student must have basic knowledge in relation to the concepts of financial and managerial accounting.</w:t>
      </w:r>
    </w:p>
    <w:p w14:paraId="75F3913C" w14:textId="77777777" w:rsidR="005975E3" w:rsidRPr="00CD4DDF" w:rsidRDefault="005975E3" w:rsidP="00812B72">
      <w:pPr>
        <w:pStyle w:val="Testo2"/>
        <w:spacing w:before="120"/>
        <w:ind w:firstLine="0"/>
        <w:rPr>
          <w:rFonts w:ascii="Times New Roman" w:hAnsi="Times New Roman" w:cs="Times New Roman"/>
          <w:noProof w:val="0"/>
          <w:szCs w:val="18"/>
          <w:lang w:val="en-GB"/>
        </w:rPr>
      </w:pPr>
      <w:r w:rsidRPr="00CD4DDF">
        <w:rPr>
          <w:rFonts w:ascii="Times New Roman" w:hAnsi="Times New Roman" w:cs="Times New Roman"/>
          <w:noProof w:val="0"/>
          <w:szCs w:val="18"/>
          <w:lang w:val="en-GB"/>
        </w:rPr>
        <w:t xml:space="preserve">Information on office hours available on the teacher's personal page at </w:t>
      </w:r>
      <w:hyperlink r:id="rId8" w:history="1">
        <w:r w:rsidRPr="00CD4DDF">
          <w:rPr>
            <w:rStyle w:val="Collegamentoipertestuale"/>
            <w:rFonts w:ascii="Times New Roman" w:hAnsi="Times New Roman" w:cs="Times New Roman"/>
            <w:szCs w:val="18"/>
            <w:lang w:val="en-US"/>
          </w:rPr>
          <w:t>http://docenti.unicatt.it/</w:t>
        </w:r>
      </w:hyperlink>
      <w:r w:rsidRPr="00CD4DDF">
        <w:rPr>
          <w:rFonts w:ascii="Times New Roman" w:hAnsi="Times New Roman" w:cs="Times New Roman"/>
          <w:noProof w:val="0"/>
          <w:szCs w:val="18"/>
          <w:lang w:val="en-GB"/>
        </w:rPr>
        <w:t>.</w:t>
      </w:r>
    </w:p>
    <w:p w14:paraId="1C17B3FE" w14:textId="223A77BF" w:rsidR="005975E3" w:rsidRPr="00CD4DDF" w:rsidRDefault="005975E3" w:rsidP="00812B72">
      <w:pPr>
        <w:spacing w:line="220" w:lineRule="exact"/>
        <w:rPr>
          <w:sz w:val="18"/>
          <w:szCs w:val="18"/>
          <w:lang w:val="en-GB"/>
        </w:rPr>
      </w:pPr>
    </w:p>
    <w:sectPr w:rsidR="005975E3" w:rsidRPr="00CD4DDF" w:rsidSect="00812B72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313"/>
    <w:multiLevelType w:val="hybridMultilevel"/>
    <w:tmpl w:val="21FE7818"/>
    <w:lvl w:ilvl="0" w:tplc="A8D41D4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13A"/>
    <w:multiLevelType w:val="hybridMultilevel"/>
    <w:tmpl w:val="7F9E728E"/>
    <w:lvl w:ilvl="0" w:tplc="4B36C1E2">
      <w:numFmt w:val="bullet"/>
      <w:lvlText w:val="-"/>
      <w:lvlJc w:val="left"/>
      <w:pPr>
        <w:tabs>
          <w:tab w:val="num" w:pos="502"/>
        </w:tabs>
        <w:ind w:left="502" w:hanging="360"/>
      </w:p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872637"/>
    <w:multiLevelType w:val="hybridMultilevel"/>
    <w:tmpl w:val="88268D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76A0"/>
    <w:multiLevelType w:val="hybridMultilevel"/>
    <w:tmpl w:val="6024BDE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B"/>
    <w:rsid w:val="000718DA"/>
    <w:rsid w:val="000960BC"/>
    <w:rsid w:val="001B00E5"/>
    <w:rsid w:val="001F7D10"/>
    <w:rsid w:val="002A134B"/>
    <w:rsid w:val="002E500C"/>
    <w:rsid w:val="002F3094"/>
    <w:rsid w:val="00303A89"/>
    <w:rsid w:val="003F45F5"/>
    <w:rsid w:val="00426FB8"/>
    <w:rsid w:val="00461BD5"/>
    <w:rsid w:val="004C3E8B"/>
    <w:rsid w:val="004C66BB"/>
    <w:rsid w:val="00585041"/>
    <w:rsid w:val="005975E3"/>
    <w:rsid w:val="005E4A3E"/>
    <w:rsid w:val="0062411A"/>
    <w:rsid w:val="00672734"/>
    <w:rsid w:val="0068165E"/>
    <w:rsid w:val="00785AD3"/>
    <w:rsid w:val="00812B72"/>
    <w:rsid w:val="008327E5"/>
    <w:rsid w:val="00845232"/>
    <w:rsid w:val="0089006F"/>
    <w:rsid w:val="008C5F37"/>
    <w:rsid w:val="009A491F"/>
    <w:rsid w:val="009B0D87"/>
    <w:rsid w:val="009E3C20"/>
    <w:rsid w:val="00AD1BE9"/>
    <w:rsid w:val="00B2615A"/>
    <w:rsid w:val="00B513A1"/>
    <w:rsid w:val="00B87A20"/>
    <w:rsid w:val="00BF3853"/>
    <w:rsid w:val="00C24A0F"/>
    <w:rsid w:val="00C606E0"/>
    <w:rsid w:val="00C83154"/>
    <w:rsid w:val="00CD4DDF"/>
    <w:rsid w:val="00CF6F14"/>
    <w:rsid w:val="00D2736E"/>
    <w:rsid w:val="00D7700C"/>
    <w:rsid w:val="00D92C60"/>
    <w:rsid w:val="00DD79DC"/>
    <w:rsid w:val="00EE700B"/>
    <w:rsid w:val="00F562EC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794D3"/>
  <w15:docId w15:val="{D0D706AD-580D-4E13-B95F-1A531370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5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03789"/>
    <w:pPr>
      <w:spacing w:after="200" w:line="276" w:lineRule="auto"/>
    </w:pPr>
    <w:rPr>
      <w:rFonts w:eastAsia="Times New Roman"/>
      <w:sz w:val="22"/>
      <w:szCs w:val="22"/>
      <w:lang w:eastAsia="en-US" w:bidi="it-IT"/>
    </w:rPr>
  </w:style>
  <w:style w:type="character" w:customStyle="1" w:styleId="Caratterepredefinito">
    <w:name w:val="Carattere predefinito"/>
    <w:semiHidden/>
  </w:style>
  <w:style w:type="table" w:customStyle="1" w:styleId="Tabellanorm">
    <w:name w:val="Tabella norm"/>
    <w:semiHidden/>
    <w:rPr>
      <w:rFonts w:eastAsia="Times New Roman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0">
    <w:name w:val="Carattere predefinito"/>
    <w:semiHidden/>
    <w:rsid w:val="0082457F"/>
  </w:style>
  <w:style w:type="table" w:customStyle="1" w:styleId="Tabellanorm1">
    <w:name w:val="Tabella norm1"/>
    <w:semiHidden/>
    <w:rsid w:val="0082457F"/>
    <w:rPr>
      <w:rFonts w:eastAsia="Times New Roman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padocume">
    <w:name w:val="Mappa docume"/>
    <w:basedOn w:val="Normale1"/>
    <w:semiHidden/>
    <w:rsid w:val="006D3CB4"/>
    <w:pPr>
      <w:shd w:val="clear" w:color="auto" w:fill="C6D5EC"/>
      <w:spacing w:after="0" w:line="240" w:lineRule="auto"/>
    </w:pPr>
    <w:rPr>
      <w:rFonts w:ascii="Lucida Grande" w:hAnsi="Lucida Grande"/>
      <w:sz w:val="24"/>
      <w:szCs w:val="24"/>
      <w:lang w:eastAsia="it-IT"/>
    </w:rPr>
  </w:style>
  <w:style w:type="character" w:customStyle="1" w:styleId="DocumentMapChar">
    <w:name w:val="Document Map Char"/>
    <w:semiHidden/>
    <w:rPr>
      <w:rFonts w:ascii="Lucida Grande" w:hAnsi="Lucida Grande" w:cs="Times New Roman"/>
      <w:sz w:val="24"/>
    </w:rPr>
  </w:style>
  <w:style w:type="paragraph" w:styleId="Mappadocumento">
    <w:name w:val="Document Map"/>
    <w:basedOn w:val="Normale"/>
    <w:semiHidden/>
    <w:rsid w:val="00E45759"/>
    <w:pPr>
      <w:shd w:val="clear" w:color="auto" w:fill="C6D5EC"/>
    </w:pPr>
    <w:rPr>
      <w:rFonts w:ascii="Lucida Grande" w:hAnsi="Lucida Grande"/>
    </w:rPr>
  </w:style>
  <w:style w:type="character" w:customStyle="1" w:styleId="Titolo1Carattere">
    <w:name w:val="Titolo 1 Carattere"/>
    <w:link w:val="Titolo1"/>
    <w:uiPriority w:val="9"/>
    <w:rsid w:val="004A5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5975E3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5975E3"/>
    <w:rPr>
      <w:rFonts w:ascii="Times" w:hAnsi="Times" w:cs="Times"/>
      <w:noProof/>
      <w:sz w:val="18"/>
    </w:rPr>
  </w:style>
  <w:style w:type="paragraph" w:customStyle="1" w:styleId="Testo2">
    <w:name w:val="Testo 2"/>
    <w:link w:val="Testo2Carattere"/>
    <w:rsid w:val="005975E3"/>
    <w:pPr>
      <w:spacing w:line="220" w:lineRule="exact"/>
      <w:ind w:firstLine="284"/>
      <w:jc w:val="both"/>
    </w:pPr>
    <w:rPr>
      <w:rFonts w:ascii="Times" w:hAnsi="Times" w:cs="Times"/>
      <w:noProof/>
      <w:sz w:val="18"/>
    </w:rPr>
  </w:style>
  <w:style w:type="paragraph" w:customStyle="1" w:styleId="Testo1">
    <w:name w:val="Testo 1"/>
    <w:link w:val="Testo1Carattere"/>
    <w:rsid w:val="000960BC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character" w:customStyle="1" w:styleId="Testo1Carattere">
    <w:name w:val="Testo 1 Carattere"/>
    <w:link w:val="Testo1"/>
    <w:locked/>
    <w:rsid w:val="000960BC"/>
    <w:rPr>
      <w:rFonts w:ascii="Times" w:eastAsia="Times New Roman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D87"/>
    <w:rPr>
      <w:rFonts w:ascii="Tahoma" w:eastAsia="Times New Roman" w:hAnsi="Tahoma" w:cs="Tahoma"/>
      <w:sz w:val="16"/>
      <w:szCs w:val="16"/>
    </w:rPr>
  </w:style>
  <w:style w:type="paragraph" w:customStyle="1" w:styleId="P68B1DB1-Normale2">
    <w:name w:val="P68B1DB1-Normale2"/>
    <w:basedOn w:val="Normale"/>
    <w:rsid w:val="00303A89"/>
    <w:pPr>
      <w:tabs>
        <w:tab w:val="left" w:pos="284"/>
      </w:tabs>
      <w:spacing w:line="240" w:lineRule="exact"/>
      <w:jc w:val="both"/>
    </w:pPr>
    <w:rPr>
      <w:rFonts w:ascii="Times" w:hAnsi="Times"/>
      <w:sz w:val="18"/>
      <w:szCs w:val="20"/>
      <w:highlight w:val="yellow"/>
    </w:rPr>
  </w:style>
  <w:style w:type="paragraph" w:customStyle="1" w:styleId="P68B1DB1-Normale10">
    <w:name w:val="P68B1DB1-Normale10"/>
    <w:basedOn w:val="Normale"/>
    <w:rsid w:val="00303A89"/>
    <w:pPr>
      <w:tabs>
        <w:tab w:val="left" w:pos="284"/>
      </w:tabs>
      <w:spacing w:line="240" w:lineRule="exact"/>
      <w:jc w:val="both"/>
    </w:pPr>
    <w:rPr>
      <w:rFonts w:ascii="Times" w:hAnsi="Times"/>
      <w:b/>
      <w:i/>
      <w:sz w:val="18"/>
      <w:szCs w:val="20"/>
      <w:highlight w:val="yellow"/>
    </w:rPr>
  </w:style>
  <w:style w:type="paragraph" w:customStyle="1" w:styleId="P68B1DB1-Testo111">
    <w:name w:val="P68B1DB1-Testo111"/>
    <w:basedOn w:val="Testo1"/>
    <w:rsid w:val="00303A89"/>
    <w:rPr>
      <w:rFonts w:ascii="Times New Roman" w:hAnsi="Times New Roman"/>
      <w:smallCaps/>
      <w:noProof w:val="0"/>
      <w:highlight w:val="yellow"/>
    </w:rPr>
  </w:style>
  <w:style w:type="paragraph" w:customStyle="1" w:styleId="P68B1DB1-Testo112">
    <w:name w:val="P68B1DB1-Testo112"/>
    <w:basedOn w:val="Testo1"/>
    <w:rsid w:val="00303A89"/>
    <w:rPr>
      <w:noProof w:val="0"/>
      <w:highlight w:val="yellow"/>
    </w:rPr>
  </w:style>
  <w:style w:type="paragraph" w:customStyle="1" w:styleId="P68B1DB1-Testo113">
    <w:name w:val="P68B1DB1-Testo113"/>
    <w:basedOn w:val="Testo1"/>
    <w:rsid w:val="00303A89"/>
    <w:rPr>
      <w:rFonts w:ascii="Times New Roman" w:hAnsi="Times New Roman"/>
      <w:noProof w:val="0"/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02E89-A480-45B2-95BE-717038818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D86A5-9F35-4CD4-8B08-479EFB939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46875-3606-45B5-AE8F-675DC2642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European and Internal Market  Law 6</vt:lpstr>
    </vt:vector>
  </TitlesOfParts>
  <Company>UCSC Piacenza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and Internal Market  Law 6</dc:title>
  <dc:creator>s-guest-00-pc</dc:creator>
  <cp:lastModifiedBy>Piccolini Luisella</cp:lastModifiedBy>
  <cp:revision>21</cp:revision>
  <cp:lastPrinted>2015-04-15T13:19:00Z</cp:lastPrinted>
  <dcterms:created xsi:type="dcterms:W3CDTF">2018-04-10T15:15:00Z</dcterms:created>
  <dcterms:modified xsi:type="dcterms:W3CDTF">2022-05-25T08:32:00Z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