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8CB3" w14:textId="77777777" w:rsidR="00977F4D" w:rsidRPr="00C437DF" w:rsidRDefault="00977F4D" w:rsidP="00977F4D">
      <w:pPr>
        <w:pStyle w:val="Titolo1"/>
        <w:spacing w:before="0" w:line="240" w:lineRule="auto"/>
        <w:rPr>
          <w:lang w:val="en-GB"/>
        </w:rPr>
      </w:pPr>
      <w:r w:rsidRPr="00C437DF">
        <w:rPr>
          <w:lang w:val="en-GB"/>
        </w:rPr>
        <w:t>Advanced Economic Policy</w:t>
      </w:r>
    </w:p>
    <w:p w14:paraId="470CAF28" w14:textId="77777777" w:rsidR="00977F4D" w:rsidRPr="00C437DF" w:rsidRDefault="00977F4D" w:rsidP="00977F4D">
      <w:pPr>
        <w:pStyle w:val="Titolo2"/>
        <w:spacing w:line="240" w:lineRule="auto"/>
        <w:rPr>
          <w:lang w:val="en-GB"/>
        </w:rPr>
      </w:pPr>
      <w:r w:rsidRPr="00C437DF">
        <w:rPr>
          <w:lang w:val="en-GB"/>
        </w:rPr>
        <w:t>Prof. Francesco Timpano</w:t>
      </w:r>
    </w:p>
    <w:p w14:paraId="4CA85C62" w14:textId="77777777" w:rsidR="00977F4D" w:rsidRPr="00C437DF" w:rsidRDefault="00977F4D" w:rsidP="00977F4D">
      <w:pPr>
        <w:rPr>
          <w:b/>
          <w:i/>
          <w:sz w:val="18"/>
          <w:szCs w:val="18"/>
          <w:lang w:val="en-GB"/>
        </w:rPr>
      </w:pPr>
    </w:p>
    <w:p w14:paraId="2D344355" w14:textId="77777777" w:rsidR="00977F4D" w:rsidRPr="00C437DF" w:rsidRDefault="00977F4D" w:rsidP="00977F4D">
      <w:pPr>
        <w:pStyle w:val="Titolo3"/>
        <w:spacing w:before="0" w:after="0" w:line="240" w:lineRule="auto"/>
        <w:rPr>
          <w:lang w:val="en-GB"/>
        </w:rPr>
      </w:pPr>
    </w:p>
    <w:p w14:paraId="4907E3FA" w14:textId="77777777" w:rsidR="00977F4D" w:rsidRPr="00C437DF" w:rsidRDefault="00977F4D" w:rsidP="00977F4D">
      <w:pPr>
        <w:pStyle w:val="Titolo2"/>
        <w:spacing w:line="240" w:lineRule="auto"/>
        <w:rPr>
          <w:szCs w:val="18"/>
          <w:lang w:val="en-GB"/>
        </w:rPr>
      </w:pPr>
      <w:r w:rsidRPr="00C437DF">
        <w:rPr>
          <w:szCs w:val="18"/>
          <w:lang w:val="en-GB"/>
        </w:rPr>
        <w:t>Module 1 – European Economic Policies for Sustainability</w:t>
      </w:r>
    </w:p>
    <w:p w14:paraId="4EC1CE54" w14:textId="77777777" w:rsidR="00977F4D" w:rsidRPr="00C437DF" w:rsidRDefault="00977F4D" w:rsidP="00977F4D">
      <w:pPr>
        <w:pStyle w:val="Titolo2"/>
        <w:spacing w:line="240" w:lineRule="auto"/>
        <w:rPr>
          <w:szCs w:val="18"/>
          <w:lang w:val="en-GB"/>
        </w:rPr>
      </w:pPr>
    </w:p>
    <w:p w14:paraId="7C15448E" w14:textId="77777777" w:rsidR="00977F4D" w:rsidRPr="00C437DF" w:rsidRDefault="00977F4D" w:rsidP="00977F4D">
      <w:pPr>
        <w:pStyle w:val="Titolo2"/>
        <w:spacing w:line="240" w:lineRule="auto"/>
        <w:rPr>
          <w:szCs w:val="18"/>
          <w:lang w:val="en-GB"/>
        </w:rPr>
      </w:pPr>
      <w:r w:rsidRPr="00C437DF">
        <w:rPr>
          <w:szCs w:val="18"/>
          <w:lang w:val="en-GB"/>
        </w:rPr>
        <w:t>Module 2 – Policies for Business and Digitalization</w:t>
      </w:r>
    </w:p>
    <w:p w14:paraId="56F3E5D5" w14:textId="77777777" w:rsidR="00977F4D" w:rsidRPr="00C437DF" w:rsidRDefault="00977F4D" w:rsidP="00977F4D">
      <w:pPr>
        <w:spacing w:line="240" w:lineRule="auto"/>
        <w:rPr>
          <w:b/>
          <w:lang w:val="en-GB"/>
        </w:rPr>
      </w:pPr>
    </w:p>
    <w:p w14:paraId="65C50C18" w14:textId="77777777" w:rsidR="00977F4D" w:rsidRPr="00C437DF" w:rsidRDefault="00977F4D" w:rsidP="00977F4D">
      <w:pPr>
        <w:spacing w:before="120"/>
        <w:rPr>
          <w:b/>
          <w:i/>
          <w:sz w:val="18"/>
          <w:szCs w:val="18"/>
          <w:lang w:val="en-GB"/>
        </w:rPr>
      </w:pPr>
      <w:bookmarkStart w:id="0" w:name="_Hlk76557115"/>
      <w:r w:rsidRPr="00C437DF">
        <w:rPr>
          <w:b/>
          <w:i/>
          <w:sz w:val="18"/>
          <w:lang w:val="en-GB"/>
        </w:rPr>
        <w:t>COURSE AIMS AND INTENDED LEARNING OUTCOMES</w:t>
      </w:r>
      <w:bookmarkEnd w:id="0"/>
    </w:p>
    <w:p w14:paraId="536DEE40" w14:textId="77777777" w:rsidR="00977F4D" w:rsidRPr="00C437DF" w:rsidRDefault="00977F4D" w:rsidP="00977F4D">
      <w:pPr>
        <w:spacing w:before="120"/>
        <w:rPr>
          <w:lang w:val="en-GB"/>
        </w:rPr>
      </w:pPr>
      <w:r w:rsidRPr="00C437DF">
        <w:rPr>
          <w:lang w:val="en-GB"/>
        </w:rPr>
        <w:t>The course is introduced by a reflection on the meaning of policies starting from the concept</w:t>
      </w:r>
      <w:r>
        <w:rPr>
          <w:lang w:val="en-GB"/>
        </w:rPr>
        <w:t xml:space="preserve"> </w:t>
      </w:r>
      <w:r w:rsidRPr="00C437DF">
        <w:rPr>
          <w:lang w:val="en-GB"/>
        </w:rPr>
        <w:t xml:space="preserve">of </w:t>
      </w:r>
      <w:r>
        <w:rPr>
          <w:lang w:val="en-GB"/>
        </w:rPr>
        <w:t>“</w:t>
      </w:r>
      <w:r w:rsidRPr="00C437DF">
        <w:rPr>
          <w:lang w:val="en-GB"/>
        </w:rPr>
        <w:t>market failure</w:t>
      </w:r>
      <w:r>
        <w:rPr>
          <w:lang w:val="en-GB"/>
        </w:rPr>
        <w:t xml:space="preserve">”, </w:t>
      </w:r>
      <w:r w:rsidRPr="00C437DF">
        <w:rPr>
          <w:lang w:val="en-GB"/>
        </w:rPr>
        <w:t>widely applied in European policies</w:t>
      </w:r>
      <w:r>
        <w:rPr>
          <w:lang w:val="en-GB"/>
        </w:rPr>
        <w:t>.</w:t>
      </w:r>
      <w:r w:rsidRPr="00C437DF">
        <w:rPr>
          <w:lang w:val="en-GB"/>
        </w:rPr>
        <w:t xml:space="preserve"> </w:t>
      </w:r>
      <w:r>
        <w:rPr>
          <w:lang w:val="en-GB"/>
        </w:rPr>
        <w:t>It will</w:t>
      </w:r>
      <w:r w:rsidRPr="00C437DF">
        <w:rPr>
          <w:lang w:val="en-GB"/>
        </w:rPr>
        <w:t xml:space="preserve"> then </w:t>
      </w:r>
      <w:r>
        <w:rPr>
          <w:lang w:val="en-GB"/>
        </w:rPr>
        <w:t xml:space="preserve">offer an </w:t>
      </w:r>
      <w:r w:rsidRPr="00C437DF">
        <w:rPr>
          <w:lang w:val="en-GB"/>
        </w:rPr>
        <w:t>in-depth analysis of some topics</w:t>
      </w:r>
      <w:r>
        <w:rPr>
          <w:lang w:val="en-GB"/>
        </w:rPr>
        <w:t xml:space="preserve"> aimed at </w:t>
      </w:r>
      <w:r w:rsidRPr="00C437DF">
        <w:rPr>
          <w:lang w:val="en-GB"/>
        </w:rPr>
        <w:t>providing student</w:t>
      </w:r>
      <w:r>
        <w:rPr>
          <w:lang w:val="en-GB"/>
        </w:rPr>
        <w:t>s</w:t>
      </w:r>
      <w:r w:rsidRPr="00C437DF">
        <w:rPr>
          <w:lang w:val="en-GB"/>
        </w:rPr>
        <w:t xml:space="preserve"> with some tools for understanding the prevailing policy approach, </w:t>
      </w:r>
      <w:r>
        <w:rPr>
          <w:lang w:val="en-GB"/>
        </w:rPr>
        <w:t>especially</w:t>
      </w:r>
      <w:r w:rsidRPr="00C437DF">
        <w:rPr>
          <w:lang w:val="en-GB"/>
        </w:rPr>
        <w:t xml:space="preserve"> with reference to business support policies.</w:t>
      </w:r>
    </w:p>
    <w:p w14:paraId="3B59FEEB" w14:textId="77777777" w:rsidR="00977F4D" w:rsidRPr="00C437DF" w:rsidRDefault="00977F4D" w:rsidP="00977F4D">
      <w:pPr>
        <w:spacing w:before="120"/>
        <w:rPr>
          <w:lang w:val="en-GB"/>
        </w:rPr>
      </w:pPr>
      <w:r w:rsidRPr="003F0AFC">
        <w:rPr>
          <w:lang w:val="en-GB"/>
        </w:rPr>
        <w:t>The first module of the course starts from the approach of the Sustainable Development Goals of the UN Agenda 2030 (SDGs) to represent the evolution of the European framework</w:t>
      </w:r>
      <w:r>
        <w:rPr>
          <w:lang w:val="en-GB"/>
        </w:rPr>
        <w:t>,</w:t>
      </w:r>
      <w:r w:rsidRPr="003F0AFC">
        <w:rPr>
          <w:lang w:val="en-GB"/>
        </w:rPr>
        <w:t xml:space="preserve"> which is leading from the European Green Deal to the Action Plan for Sustainable Finance </w:t>
      </w:r>
      <w:r>
        <w:rPr>
          <w:lang w:val="en-GB"/>
        </w:rPr>
        <w:t xml:space="preserve">and </w:t>
      </w:r>
      <w:r w:rsidRPr="003F0AFC">
        <w:rPr>
          <w:lang w:val="en-GB"/>
        </w:rPr>
        <w:t>to the recent interventions in the field of production standards, reporting, financial regulation</w:t>
      </w:r>
      <w:r>
        <w:rPr>
          <w:lang w:val="en-GB"/>
        </w:rPr>
        <w:t>,</w:t>
      </w:r>
      <w:r w:rsidRPr="003F0AFC">
        <w:rPr>
          <w:lang w:val="en-GB"/>
        </w:rPr>
        <w:t xml:space="preserve"> and taxonomy of sustainable economic activities</w:t>
      </w:r>
      <w:r w:rsidRPr="00C437DF">
        <w:rPr>
          <w:lang w:val="en-GB"/>
        </w:rPr>
        <w:t xml:space="preserve">. </w:t>
      </w:r>
    </w:p>
    <w:p w14:paraId="069545E8" w14:textId="77777777" w:rsidR="00977F4D" w:rsidRPr="00C437DF" w:rsidRDefault="00977F4D" w:rsidP="00977F4D">
      <w:pPr>
        <w:spacing w:before="120"/>
        <w:rPr>
          <w:lang w:val="en-GB"/>
        </w:rPr>
      </w:pPr>
      <w:r w:rsidRPr="003D3981">
        <w:rPr>
          <w:lang w:val="en-GB"/>
        </w:rPr>
        <w:t xml:space="preserve">Subsequently, </w:t>
      </w:r>
      <w:r>
        <w:rPr>
          <w:lang w:val="en-GB"/>
        </w:rPr>
        <w:t xml:space="preserve">the course will focus </w:t>
      </w:r>
      <w:r w:rsidRPr="003D3981">
        <w:rPr>
          <w:lang w:val="en-GB"/>
        </w:rPr>
        <w:t xml:space="preserve">on the economic policies implemented at the European level in response to the major adverse events of the last fifteen years, from the 2008 financial crisis to the pandemic crisis and the war. In addition to focusing on the policies adopted, </w:t>
      </w:r>
      <w:r>
        <w:rPr>
          <w:lang w:val="en-GB"/>
        </w:rPr>
        <w:t xml:space="preserve">the course will reconstruct </w:t>
      </w:r>
      <w:r w:rsidRPr="003D3981">
        <w:rPr>
          <w:lang w:val="en-GB"/>
        </w:rPr>
        <w:t>the economic rationale that inspired them in the overall framework of the European Union</w:t>
      </w:r>
      <w:r>
        <w:rPr>
          <w:lang w:val="en-GB"/>
        </w:rPr>
        <w:t xml:space="preserve"> </w:t>
      </w:r>
      <w:r w:rsidRPr="003D3981">
        <w:rPr>
          <w:lang w:val="en-GB"/>
        </w:rPr>
        <w:t>construction</w:t>
      </w:r>
      <w:r w:rsidRPr="00C437DF">
        <w:rPr>
          <w:lang w:val="en-GB"/>
        </w:rPr>
        <w:t>.</w:t>
      </w:r>
    </w:p>
    <w:p w14:paraId="27A7822A" w14:textId="77777777" w:rsidR="00977F4D" w:rsidRPr="00C437DF" w:rsidRDefault="00977F4D" w:rsidP="00977F4D">
      <w:pPr>
        <w:spacing w:before="120"/>
        <w:rPr>
          <w:lang w:val="en-GB"/>
        </w:rPr>
      </w:pPr>
      <w:r w:rsidRPr="00351567">
        <w:rPr>
          <w:lang w:val="en-GB"/>
        </w:rPr>
        <w:t>The second part of the course analy</w:t>
      </w:r>
      <w:r>
        <w:rPr>
          <w:lang w:val="en-GB"/>
        </w:rPr>
        <w:t>s</w:t>
      </w:r>
      <w:r w:rsidRPr="00351567">
        <w:rPr>
          <w:lang w:val="en-GB"/>
        </w:rPr>
        <w:t xml:space="preserve">es the recent evolution of European policies starting from the analysis of the theoretical debate between the </w:t>
      </w:r>
      <w:r w:rsidRPr="00C437DF">
        <w:rPr>
          <w:lang w:val="en-GB"/>
        </w:rPr>
        <w:t>“</w:t>
      </w:r>
      <w:r w:rsidRPr="00C437DF">
        <w:rPr>
          <w:i/>
          <w:lang w:val="en-GB"/>
        </w:rPr>
        <w:t>place-based</w:t>
      </w:r>
      <w:r w:rsidRPr="00C437DF">
        <w:rPr>
          <w:lang w:val="en-GB"/>
        </w:rPr>
        <w:t xml:space="preserve">” </w:t>
      </w:r>
      <w:r w:rsidRPr="00351567">
        <w:rPr>
          <w:lang w:val="en-GB"/>
        </w:rPr>
        <w:t xml:space="preserve">approach to policies and the </w:t>
      </w:r>
      <w:r w:rsidRPr="00C437DF">
        <w:rPr>
          <w:lang w:val="en-GB"/>
        </w:rPr>
        <w:t>“</w:t>
      </w:r>
      <w:r w:rsidRPr="00C437DF">
        <w:rPr>
          <w:i/>
          <w:lang w:val="en-GB"/>
        </w:rPr>
        <w:t>spatially neutral</w:t>
      </w:r>
      <w:r w:rsidRPr="00C437DF">
        <w:rPr>
          <w:lang w:val="en-GB"/>
        </w:rPr>
        <w:t>”</w:t>
      </w:r>
      <w:r>
        <w:rPr>
          <w:lang w:val="en-GB"/>
        </w:rPr>
        <w:t xml:space="preserve"> </w:t>
      </w:r>
      <w:r w:rsidRPr="00351567">
        <w:rPr>
          <w:lang w:val="en-GB"/>
        </w:rPr>
        <w:t>approach. The concepts of territorial cohesion and competitiveness will be used to understand the territorial dimension of enterprise policies and the contribution they have made to agglomeration and/or balanced development</w:t>
      </w:r>
      <w:r w:rsidRPr="00C437DF">
        <w:rPr>
          <w:lang w:val="en-GB"/>
        </w:rPr>
        <w:t>.</w:t>
      </w:r>
    </w:p>
    <w:p w14:paraId="60395787" w14:textId="77777777" w:rsidR="00977F4D" w:rsidRPr="00C437DF" w:rsidRDefault="00977F4D" w:rsidP="00977F4D">
      <w:pPr>
        <w:spacing w:before="120"/>
        <w:rPr>
          <w:lang w:val="en-GB"/>
        </w:rPr>
      </w:pPr>
      <w:r w:rsidRPr="00597414">
        <w:rPr>
          <w:lang w:val="en-GB"/>
        </w:rPr>
        <w:t xml:space="preserve">Subsequently, the </w:t>
      </w:r>
      <w:r>
        <w:rPr>
          <w:lang w:val="en-GB"/>
        </w:rPr>
        <w:t xml:space="preserve">course will discuss the </w:t>
      </w:r>
      <w:r w:rsidRPr="00597414">
        <w:rPr>
          <w:lang w:val="en-GB"/>
        </w:rPr>
        <w:t xml:space="preserve">most recent industrial policies in support of enterprises, with </w:t>
      </w:r>
      <w:r>
        <w:rPr>
          <w:lang w:val="en-GB"/>
        </w:rPr>
        <w:t>special</w:t>
      </w:r>
      <w:r w:rsidRPr="00597414">
        <w:rPr>
          <w:lang w:val="en-GB"/>
        </w:rPr>
        <w:t xml:space="preserve"> reference to the European Agenda for innovation, </w:t>
      </w:r>
      <w:r>
        <w:rPr>
          <w:lang w:val="en-GB"/>
        </w:rPr>
        <w:t xml:space="preserve">the </w:t>
      </w:r>
      <w:r w:rsidRPr="00597414">
        <w:rPr>
          <w:lang w:val="en-GB"/>
        </w:rPr>
        <w:t>policies in support of industrial clusters</w:t>
      </w:r>
      <w:r>
        <w:rPr>
          <w:lang w:val="en-GB"/>
        </w:rPr>
        <w:t xml:space="preserve"> </w:t>
      </w:r>
      <w:r w:rsidRPr="00597414">
        <w:rPr>
          <w:lang w:val="en-GB"/>
        </w:rPr>
        <w:t xml:space="preserve">and the so-called </w:t>
      </w:r>
      <w:r>
        <w:rPr>
          <w:lang w:val="en-GB"/>
        </w:rPr>
        <w:t>“</w:t>
      </w:r>
      <w:r w:rsidRPr="00597414">
        <w:rPr>
          <w:lang w:val="en-GB"/>
        </w:rPr>
        <w:t>policies for Industry 4.0</w:t>
      </w:r>
      <w:r>
        <w:rPr>
          <w:lang w:val="en-GB"/>
        </w:rPr>
        <w:t>”,</w:t>
      </w:r>
      <w:r w:rsidRPr="00597414">
        <w:rPr>
          <w:lang w:val="en-GB"/>
        </w:rPr>
        <w:t xml:space="preserve"> and more generally for digit</w:t>
      </w:r>
      <w:r>
        <w:rPr>
          <w:lang w:val="en-GB"/>
        </w:rPr>
        <w:t>al</w:t>
      </w:r>
      <w:r w:rsidRPr="00597414">
        <w:rPr>
          <w:lang w:val="en-GB"/>
        </w:rPr>
        <w:t>i</w:t>
      </w:r>
      <w:r>
        <w:rPr>
          <w:lang w:val="en-GB"/>
        </w:rPr>
        <w:t>s</w:t>
      </w:r>
      <w:r w:rsidRPr="00597414">
        <w:rPr>
          <w:lang w:val="en-GB"/>
        </w:rPr>
        <w:t>ation</w:t>
      </w:r>
      <w:r w:rsidRPr="00C437DF">
        <w:rPr>
          <w:lang w:val="en-GB"/>
        </w:rPr>
        <w:t xml:space="preserve">. </w:t>
      </w:r>
    </w:p>
    <w:p w14:paraId="12DFC0D2" w14:textId="77777777" w:rsidR="00977F4D" w:rsidRPr="00C437DF" w:rsidRDefault="00977F4D" w:rsidP="00977F4D">
      <w:pPr>
        <w:spacing w:before="120"/>
        <w:rPr>
          <w:lang w:val="en-GB"/>
        </w:rPr>
      </w:pPr>
      <w:r w:rsidRPr="00742403">
        <w:rPr>
          <w:lang w:val="en-GB"/>
        </w:rPr>
        <w:t>The course is transversally characteri</w:t>
      </w:r>
      <w:r>
        <w:rPr>
          <w:lang w:val="en-GB"/>
        </w:rPr>
        <w:t>s</w:t>
      </w:r>
      <w:r w:rsidRPr="00742403">
        <w:rPr>
          <w:lang w:val="en-GB"/>
        </w:rPr>
        <w:t xml:space="preserve">ed by </w:t>
      </w:r>
      <w:r>
        <w:rPr>
          <w:lang w:val="en-GB"/>
        </w:rPr>
        <w:t>its</w:t>
      </w:r>
      <w:r w:rsidRPr="00742403">
        <w:rPr>
          <w:lang w:val="en-GB"/>
        </w:rPr>
        <w:t xml:space="preserve"> contextuali</w:t>
      </w:r>
      <w:r>
        <w:rPr>
          <w:lang w:val="en-GB"/>
        </w:rPr>
        <w:t>s</w:t>
      </w:r>
      <w:r w:rsidRPr="00742403">
        <w:rPr>
          <w:lang w:val="en-GB"/>
        </w:rPr>
        <w:t xml:space="preserve">ation in the European </w:t>
      </w:r>
      <w:r w:rsidRPr="00742403">
        <w:rPr>
          <w:i/>
          <w:iCs/>
          <w:lang w:val="en-GB"/>
        </w:rPr>
        <w:t>Next Generation EU</w:t>
      </w:r>
      <w:r w:rsidRPr="00742403">
        <w:rPr>
          <w:lang w:val="en-GB"/>
        </w:rPr>
        <w:t xml:space="preserve"> program</w:t>
      </w:r>
      <w:r>
        <w:rPr>
          <w:lang w:val="en-GB"/>
        </w:rPr>
        <w:t>me</w:t>
      </w:r>
      <w:r w:rsidRPr="00742403">
        <w:rPr>
          <w:lang w:val="en-GB"/>
        </w:rPr>
        <w:t xml:space="preserve"> which will be followed in its design and implementation phase and monitored through the creation of a </w:t>
      </w:r>
      <w:r w:rsidRPr="00742403">
        <w:rPr>
          <w:i/>
          <w:iCs/>
          <w:lang w:val="en-GB"/>
        </w:rPr>
        <w:t xml:space="preserve">Next Generation EU </w:t>
      </w:r>
      <w:r>
        <w:rPr>
          <w:i/>
          <w:iCs/>
          <w:lang w:val="en-GB"/>
        </w:rPr>
        <w:lastRenderedPageBreak/>
        <w:t xml:space="preserve">Workshop </w:t>
      </w:r>
      <w:r w:rsidRPr="00C437DF">
        <w:rPr>
          <w:lang w:val="en-GB"/>
        </w:rPr>
        <w:t xml:space="preserve">(https://www.linkedin.com/company/laboratorio-next-generation-eu/?viewAsMember=true). </w:t>
      </w:r>
    </w:p>
    <w:p w14:paraId="2CF4E58C" w14:textId="77777777" w:rsidR="00977F4D" w:rsidRDefault="00977F4D" w:rsidP="00977F4D">
      <w:pPr>
        <w:spacing w:after="120"/>
        <w:rPr>
          <w:i/>
          <w:lang w:val="en-GB"/>
        </w:rPr>
      </w:pPr>
    </w:p>
    <w:p w14:paraId="4A16FA9C" w14:textId="77777777" w:rsidR="00977F4D" w:rsidRPr="00C437DF" w:rsidRDefault="00977F4D" w:rsidP="00977F4D">
      <w:pPr>
        <w:spacing w:after="120"/>
        <w:rPr>
          <w:i/>
          <w:lang w:val="en-GB"/>
        </w:rPr>
      </w:pPr>
      <w:r>
        <w:rPr>
          <w:i/>
          <w:lang w:val="en-GB"/>
        </w:rPr>
        <w:t xml:space="preserve">Intended learning outcomes </w:t>
      </w:r>
    </w:p>
    <w:p w14:paraId="6E9908D6" w14:textId="77777777" w:rsidR="00977F4D" w:rsidRPr="00C437DF" w:rsidRDefault="00977F4D" w:rsidP="00977F4D">
      <w:pPr>
        <w:tabs>
          <w:tab w:val="clear" w:pos="284"/>
        </w:tabs>
        <w:autoSpaceDE w:val="0"/>
        <w:autoSpaceDN w:val="0"/>
        <w:adjustRightInd w:val="0"/>
        <w:spacing w:after="120" w:line="240" w:lineRule="auto"/>
        <w:rPr>
          <w:i/>
          <w:lang w:val="en-GB"/>
        </w:rPr>
      </w:pPr>
      <w:r>
        <w:rPr>
          <w:i/>
          <w:lang w:val="en-GB"/>
        </w:rPr>
        <w:t>Knowledge and understanding</w:t>
      </w:r>
    </w:p>
    <w:p w14:paraId="7FF4F598" w14:textId="77777777" w:rsidR="00977F4D" w:rsidRPr="00C437DF" w:rsidRDefault="00977F4D" w:rsidP="00977F4D">
      <w:pPr>
        <w:tabs>
          <w:tab w:val="clear" w:pos="284"/>
        </w:tabs>
        <w:autoSpaceDE w:val="0"/>
        <w:autoSpaceDN w:val="0"/>
        <w:adjustRightInd w:val="0"/>
        <w:spacing w:after="120" w:line="240" w:lineRule="auto"/>
        <w:rPr>
          <w:lang w:val="en-GB"/>
        </w:rPr>
      </w:pPr>
      <w:r w:rsidRPr="00C437DF">
        <w:rPr>
          <w:lang w:val="en-GB"/>
        </w:rPr>
        <w:t>At the end of the course</w:t>
      </w:r>
      <w:r>
        <w:rPr>
          <w:lang w:val="en-GB"/>
        </w:rPr>
        <w:t xml:space="preserve">, </w:t>
      </w:r>
      <w:r w:rsidRPr="00C437DF">
        <w:rPr>
          <w:lang w:val="en-GB"/>
        </w:rPr>
        <w:t>student</w:t>
      </w:r>
      <w:r>
        <w:rPr>
          <w:lang w:val="en-GB"/>
        </w:rPr>
        <w:t>s</w:t>
      </w:r>
      <w:r w:rsidRPr="00C437DF">
        <w:rPr>
          <w:lang w:val="en-GB"/>
        </w:rPr>
        <w:t xml:space="preserve"> will be able to:</w:t>
      </w:r>
    </w:p>
    <w:p w14:paraId="737ED229" w14:textId="77777777" w:rsidR="00977F4D" w:rsidRPr="00C437DF" w:rsidRDefault="00977F4D" w:rsidP="00977F4D">
      <w:pPr>
        <w:pStyle w:val="Paragrafoelenco"/>
        <w:numPr>
          <w:ilvl w:val="0"/>
          <w:numId w:val="18"/>
        </w:numPr>
        <w:spacing w:after="120"/>
        <w:ind w:left="714" w:hanging="357"/>
        <w:contextualSpacing w:val="0"/>
        <w:rPr>
          <w:lang w:val="en-GB"/>
        </w:rPr>
      </w:pPr>
      <w:r w:rsidRPr="00C437DF">
        <w:rPr>
          <w:lang w:val="en-GB"/>
        </w:rPr>
        <w:t xml:space="preserve">Understand the theoretical </w:t>
      </w:r>
      <w:r>
        <w:rPr>
          <w:lang w:val="en-GB"/>
        </w:rPr>
        <w:t>reasons</w:t>
      </w:r>
      <w:r w:rsidRPr="00C437DF">
        <w:rPr>
          <w:lang w:val="en-GB"/>
        </w:rPr>
        <w:t xml:space="preserve"> that motivate European policies (</w:t>
      </w:r>
      <w:r>
        <w:rPr>
          <w:lang w:val="en-GB"/>
        </w:rPr>
        <w:t>goal</w:t>
      </w:r>
      <w:r w:rsidRPr="00C437DF">
        <w:rPr>
          <w:lang w:val="en-GB"/>
        </w:rPr>
        <w:t xml:space="preserve"> 1);</w:t>
      </w:r>
    </w:p>
    <w:p w14:paraId="6351582B" w14:textId="77777777" w:rsidR="00977F4D" w:rsidRPr="00C437DF" w:rsidRDefault="00977F4D" w:rsidP="00977F4D">
      <w:pPr>
        <w:pStyle w:val="Paragrafoelenco"/>
        <w:numPr>
          <w:ilvl w:val="0"/>
          <w:numId w:val="18"/>
        </w:numPr>
        <w:spacing w:after="120"/>
        <w:ind w:left="714" w:hanging="357"/>
        <w:contextualSpacing w:val="0"/>
        <w:rPr>
          <w:lang w:val="en-GB"/>
        </w:rPr>
      </w:pPr>
      <w:r w:rsidRPr="00C437DF">
        <w:rPr>
          <w:lang w:val="en-GB"/>
        </w:rPr>
        <w:t>Understand the approach based on the concept of sustainability (</w:t>
      </w:r>
      <w:r>
        <w:rPr>
          <w:lang w:val="en-GB"/>
        </w:rPr>
        <w:t>according to</w:t>
      </w:r>
      <w:r w:rsidRPr="00C437DF">
        <w:rPr>
          <w:lang w:val="en-GB"/>
        </w:rPr>
        <w:t xml:space="preserve"> the SDGs) in economic policies (</w:t>
      </w:r>
      <w:r>
        <w:rPr>
          <w:lang w:val="en-GB"/>
        </w:rPr>
        <w:t>goal</w:t>
      </w:r>
      <w:r w:rsidRPr="00C437DF">
        <w:rPr>
          <w:lang w:val="en-GB"/>
        </w:rPr>
        <w:t xml:space="preserve"> 2);</w:t>
      </w:r>
      <w:r>
        <w:rPr>
          <w:lang w:val="en-GB"/>
        </w:rPr>
        <w:t xml:space="preserve"> </w:t>
      </w:r>
    </w:p>
    <w:p w14:paraId="42B04B67" w14:textId="77777777" w:rsidR="00977F4D" w:rsidRPr="00C437DF" w:rsidRDefault="00977F4D" w:rsidP="00977F4D">
      <w:pPr>
        <w:pStyle w:val="Paragrafoelenco"/>
        <w:numPr>
          <w:ilvl w:val="0"/>
          <w:numId w:val="18"/>
        </w:numPr>
        <w:spacing w:after="120"/>
        <w:ind w:left="714" w:hanging="357"/>
        <w:contextualSpacing w:val="0"/>
        <w:rPr>
          <w:lang w:val="en-GB"/>
        </w:rPr>
      </w:pPr>
      <w:r w:rsidRPr="00F75236">
        <w:rPr>
          <w:lang w:val="en-GB"/>
        </w:rPr>
        <w:t>Know the policy instrumentation intended for businesses (</w:t>
      </w:r>
      <w:r>
        <w:rPr>
          <w:lang w:val="en-GB"/>
        </w:rPr>
        <w:t>goal</w:t>
      </w:r>
      <w:r w:rsidRPr="00F75236">
        <w:rPr>
          <w:lang w:val="en-GB"/>
        </w:rPr>
        <w:t xml:space="preserve"> 3);</w:t>
      </w:r>
      <w:r>
        <w:rPr>
          <w:lang w:val="en-GB"/>
        </w:rPr>
        <w:t xml:space="preserve"> </w:t>
      </w:r>
    </w:p>
    <w:p w14:paraId="004989D6" w14:textId="77777777" w:rsidR="00977F4D" w:rsidRPr="00C437DF" w:rsidRDefault="00977F4D" w:rsidP="00977F4D">
      <w:pPr>
        <w:pStyle w:val="Paragrafoelenco"/>
        <w:numPr>
          <w:ilvl w:val="0"/>
          <w:numId w:val="18"/>
        </w:numPr>
        <w:spacing w:after="120"/>
        <w:ind w:left="714" w:hanging="357"/>
        <w:contextualSpacing w:val="0"/>
        <w:rPr>
          <w:lang w:val="en-GB"/>
        </w:rPr>
      </w:pPr>
      <w:r w:rsidRPr="00F75236">
        <w:rPr>
          <w:lang w:val="en-GB"/>
        </w:rPr>
        <w:t>Implement an in-depth analysis of sustainability and digit</w:t>
      </w:r>
      <w:r>
        <w:rPr>
          <w:lang w:val="en-GB"/>
        </w:rPr>
        <w:t>al</w:t>
      </w:r>
      <w:r w:rsidRPr="00F75236">
        <w:rPr>
          <w:lang w:val="en-GB"/>
        </w:rPr>
        <w:t>i</w:t>
      </w:r>
      <w:r>
        <w:rPr>
          <w:lang w:val="en-GB"/>
        </w:rPr>
        <w:t>sa</w:t>
      </w:r>
      <w:r w:rsidRPr="00F75236">
        <w:rPr>
          <w:lang w:val="en-GB"/>
        </w:rPr>
        <w:t>tion policies (</w:t>
      </w:r>
      <w:r>
        <w:rPr>
          <w:lang w:val="en-GB"/>
        </w:rPr>
        <w:t>goal</w:t>
      </w:r>
      <w:r w:rsidRPr="00F75236">
        <w:rPr>
          <w:lang w:val="en-GB"/>
        </w:rPr>
        <w:t xml:space="preserve"> 4);</w:t>
      </w:r>
      <w:r>
        <w:rPr>
          <w:lang w:val="en-GB"/>
        </w:rPr>
        <w:t xml:space="preserve"> </w:t>
      </w:r>
    </w:p>
    <w:p w14:paraId="20397AEF" w14:textId="77777777" w:rsidR="00977F4D" w:rsidRPr="00C437DF" w:rsidRDefault="00977F4D" w:rsidP="00977F4D">
      <w:pPr>
        <w:spacing w:after="120"/>
        <w:rPr>
          <w:i/>
          <w:lang w:val="en-GB"/>
        </w:rPr>
      </w:pPr>
      <w:r>
        <w:rPr>
          <w:i/>
          <w:lang w:val="en-GB"/>
        </w:rPr>
        <w:t xml:space="preserve">Ability to apply knowledge and understanding </w:t>
      </w:r>
    </w:p>
    <w:p w14:paraId="582DF266" w14:textId="77777777" w:rsidR="00977F4D" w:rsidRPr="00C437DF" w:rsidRDefault="00977F4D" w:rsidP="00977F4D">
      <w:pPr>
        <w:pStyle w:val="Paragrafoelenco"/>
        <w:numPr>
          <w:ilvl w:val="0"/>
          <w:numId w:val="18"/>
        </w:numPr>
        <w:spacing w:after="120"/>
        <w:ind w:left="714" w:hanging="357"/>
        <w:contextualSpacing w:val="0"/>
        <w:rPr>
          <w:lang w:val="en-GB"/>
        </w:rPr>
      </w:pPr>
      <w:r w:rsidRPr="00F75236">
        <w:rPr>
          <w:lang w:val="en-GB"/>
        </w:rPr>
        <w:t xml:space="preserve">Ability to develop applied </w:t>
      </w:r>
      <w:r>
        <w:rPr>
          <w:lang w:val="en-GB"/>
        </w:rPr>
        <w:t>competences</w:t>
      </w:r>
      <w:r w:rsidRPr="00F75236">
        <w:rPr>
          <w:lang w:val="en-GB"/>
        </w:rPr>
        <w:t xml:space="preserve"> on the European program</w:t>
      </w:r>
      <w:r>
        <w:rPr>
          <w:lang w:val="en-GB"/>
        </w:rPr>
        <w:t>me</w:t>
      </w:r>
      <w:r w:rsidRPr="00F75236">
        <w:rPr>
          <w:lang w:val="en-GB"/>
        </w:rPr>
        <w:t xml:space="preserve"> (</w:t>
      </w:r>
      <w:r>
        <w:rPr>
          <w:lang w:val="en-GB"/>
        </w:rPr>
        <w:t>goal</w:t>
      </w:r>
      <w:r w:rsidRPr="00F75236">
        <w:rPr>
          <w:lang w:val="en-GB"/>
        </w:rPr>
        <w:t xml:space="preserve"> 5);</w:t>
      </w:r>
      <w:r>
        <w:rPr>
          <w:lang w:val="en-GB"/>
        </w:rPr>
        <w:t xml:space="preserve"> </w:t>
      </w:r>
    </w:p>
    <w:p w14:paraId="75B91788" w14:textId="77777777" w:rsidR="00977F4D" w:rsidRPr="00C437DF" w:rsidRDefault="00977F4D" w:rsidP="00977F4D">
      <w:pPr>
        <w:pStyle w:val="Paragrafoelenco"/>
        <w:numPr>
          <w:ilvl w:val="0"/>
          <w:numId w:val="18"/>
        </w:numPr>
        <w:spacing w:after="120"/>
        <w:ind w:left="714" w:hanging="357"/>
        <w:contextualSpacing w:val="0"/>
        <w:rPr>
          <w:lang w:val="en-GB"/>
        </w:rPr>
      </w:pPr>
      <w:r>
        <w:rPr>
          <w:lang w:val="en-GB"/>
        </w:rPr>
        <w:t>Ability to p</w:t>
      </w:r>
      <w:r w:rsidRPr="00F75236">
        <w:rPr>
          <w:lang w:val="en-GB"/>
        </w:rPr>
        <w:t>ropose design changes in economic policies, especially those aimed at businesses (</w:t>
      </w:r>
      <w:r>
        <w:rPr>
          <w:lang w:val="en-GB"/>
        </w:rPr>
        <w:t>goal</w:t>
      </w:r>
      <w:r w:rsidRPr="00F75236">
        <w:rPr>
          <w:lang w:val="en-GB"/>
        </w:rPr>
        <w:t xml:space="preserve"> 6);</w:t>
      </w:r>
      <w:r>
        <w:rPr>
          <w:lang w:val="en-GB"/>
        </w:rPr>
        <w:t xml:space="preserve"> </w:t>
      </w:r>
    </w:p>
    <w:p w14:paraId="58C8AC7F" w14:textId="77777777" w:rsidR="00977F4D" w:rsidRPr="00C437DF" w:rsidRDefault="00977F4D" w:rsidP="00977F4D">
      <w:pPr>
        <w:pStyle w:val="Paragrafoelenco"/>
        <w:numPr>
          <w:ilvl w:val="0"/>
          <w:numId w:val="18"/>
        </w:numPr>
        <w:spacing w:after="120"/>
        <w:ind w:left="714" w:hanging="357"/>
        <w:contextualSpacing w:val="0"/>
        <w:rPr>
          <w:lang w:val="en-GB"/>
        </w:rPr>
      </w:pPr>
      <w:r w:rsidRPr="00F75236">
        <w:rPr>
          <w:lang w:val="en-GB"/>
        </w:rPr>
        <w:t>Use macroeconomic models to evaluate the impact of monetary, fiscal, currency and European policies, as well as those oriented towards achieving sustainable development (</w:t>
      </w:r>
      <w:r>
        <w:rPr>
          <w:lang w:val="en-GB"/>
        </w:rPr>
        <w:t>goal</w:t>
      </w:r>
      <w:r w:rsidRPr="00F75236">
        <w:rPr>
          <w:lang w:val="en-GB"/>
        </w:rPr>
        <w:t xml:space="preserve"> 7);</w:t>
      </w:r>
      <w:r>
        <w:rPr>
          <w:lang w:val="en-GB"/>
        </w:rPr>
        <w:t xml:space="preserve"> </w:t>
      </w:r>
    </w:p>
    <w:p w14:paraId="258E7A27" w14:textId="77777777" w:rsidR="00977F4D" w:rsidRPr="00C437DF" w:rsidRDefault="00977F4D" w:rsidP="00977F4D">
      <w:pPr>
        <w:pStyle w:val="Paragrafoelenco"/>
        <w:numPr>
          <w:ilvl w:val="0"/>
          <w:numId w:val="18"/>
        </w:numPr>
        <w:spacing w:after="120"/>
        <w:ind w:left="714" w:hanging="357"/>
        <w:contextualSpacing w:val="0"/>
        <w:rPr>
          <w:lang w:val="en-GB"/>
        </w:rPr>
      </w:pPr>
      <w:r w:rsidRPr="00F75236">
        <w:rPr>
          <w:lang w:val="en-GB"/>
        </w:rPr>
        <w:t xml:space="preserve">Develop specific </w:t>
      </w:r>
      <w:r>
        <w:rPr>
          <w:lang w:val="en-GB"/>
        </w:rPr>
        <w:t>competences</w:t>
      </w:r>
      <w:r w:rsidRPr="00F75236">
        <w:rPr>
          <w:lang w:val="en-GB"/>
        </w:rPr>
        <w:t xml:space="preserve"> on policy evaluation in the light of the 2030 Agenda and the SDGs (</w:t>
      </w:r>
      <w:r>
        <w:rPr>
          <w:lang w:val="en-GB"/>
        </w:rPr>
        <w:t>goal</w:t>
      </w:r>
      <w:r w:rsidRPr="00F75236">
        <w:rPr>
          <w:lang w:val="en-GB"/>
        </w:rPr>
        <w:t xml:space="preserve"> 8).</w:t>
      </w:r>
      <w:r>
        <w:rPr>
          <w:lang w:val="en-GB"/>
        </w:rPr>
        <w:t xml:space="preserve">  </w:t>
      </w:r>
    </w:p>
    <w:p w14:paraId="65F0E0DD" w14:textId="77777777" w:rsidR="00977F4D" w:rsidRPr="00C437DF" w:rsidRDefault="00977F4D" w:rsidP="00977F4D">
      <w:pPr>
        <w:spacing w:after="120"/>
        <w:rPr>
          <w:lang w:val="en-GB"/>
        </w:rPr>
      </w:pPr>
      <w:r w:rsidRPr="00F75236">
        <w:rPr>
          <w:lang w:val="en-GB"/>
        </w:rPr>
        <w:t>As part of the course, the students</w:t>
      </w:r>
      <w:r>
        <w:rPr>
          <w:lang w:val="en-GB"/>
        </w:rPr>
        <w:t>’</w:t>
      </w:r>
      <w:r w:rsidRPr="00F75236">
        <w:rPr>
          <w:lang w:val="en-GB"/>
        </w:rPr>
        <w:t xml:space="preserve"> ability to learn the policies structure and to evaluate their impact will be </w:t>
      </w:r>
      <w:r>
        <w:rPr>
          <w:lang w:val="en-GB"/>
        </w:rPr>
        <w:t>enhanced</w:t>
      </w:r>
      <w:r w:rsidRPr="00F75236">
        <w:rPr>
          <w:lang w:val="en-GB"/>
        </w:rPr>
        <w:t xml:space="preserve">, aiming to significantly promote their own independent judgment and the ability to propose policy changes, also in light of the evaluation of the professional world. The </w:t>
      </w:r>
      <w:r>
        <w:rPr>
          <w:lang w:val="en-GB"/>
        </w:rPr>
        <w:t>assessment</w:t>
      </w:r>
      <w:r w:rsidRPr="00F75236">
        <w:rPr>
          <w:lang w:val="en-GB"/>
        </w:rPr>
        <w:t xml:space="preserve"> methods are </w:t>
      </w:r>
      <w:r>
        <w:rPr>
          <w:lang w:val="en-GB"/>
        </w:rPr>
        <w:t>designed to</w:t>
      </w:r>
      <w:r w:rsidRPr="00F75236">
        <w:rPr>
          <w:lang w:val="en-GB"/>
        </w:rPr>
        <w:t xml:space="preserve"> stimulat</w:t>
      </w:r>
      <w:r>
        <w:rPr>
          <w:lang w:val="en-GB"/>
        </w:rPr>
        <w:t>e</w:t>
      </w:r>
      <w:r w:rsidRPr="00F75236">
        <w:rPr>
          <w:lang w:val="en-GB"/>
        </w:rPr>
        <w:t xml:space="preserve"> communication skills</w:t>
      </w:r>
      <w:r>
        <w:rPr>
          <w:lang w:val="en-GB"/>
        </w:rPr>
        <w:t>,</w:t>
      </w:r>
      <w:r w:rsidRPr="00F75236">
        <w:rPr>
          <w:lang w:val="en-GB"/>
        </w:rPr>
        <w:t xml:space="preserve"> in particular through the Hackathon path </w:t>
      </w:r>
      <w:r>
        <w:rPr>
          <w:lang w:val="en-GB"/>
        </w:rPr>
        <w:t>where</w:t>
      </w:r>
      <w:r w:rsidRPr="00F75236">
        <w:rPr>
          <w:lang w:val="en-GB"/>
        </w:rPr>
        <w:t xml:space="preserve"> students </w:t>
      </w:r>
      <w:r>
        <w:rPr>
          <w:lang w:val="en-GB"/>
        </w:rPr>
        <w:t xml:space="preserve">are measured against </w:t>
      </w:r>
      <w:r w:rsidRPr="00F75236">
        <w:rPr>
          <w:lang w:val="en-GB"/>
        </w:rPr>
        <w:t>the professional world</w:t>
      </w:r>
      <w:r w:rsidRPr="00C437DF">
        <w:rPr>
          <w:lang w:val="en-GB"/>
        </w:rPr>
        <w:t>.</w:t>
      </w:r>
    </w:p>
    <w:p w14:paraId="64EF6F0D" w14:textId="77777777" w:rsidR="00977F4D" w:rsidRPr="00C437DF" w:rsidRDefault="00977F4D" w:rsidP="00977F4D">
      <w:pPr>
        <w:tabs>
          <w:tab w:val="clear" w:pos="284"/>
          <w:tab w:val="num" w:pos="1429"/>
        </w:tabs>
        <w:spacing w:before="120"/>
        <w:ind w:left="142"/>
        <w:rPr>
          <w:b/>
          <w:sz w:val="18"/>
          <w:lang w:val="en-GB"/>
        </w:rPr>
      </w:pPr>
      <w:bookmarkStart w:id="1" w:name="_Hlk76557154"/>
      <w:r w:rsidRPr="00C437DF">
        <w:rPr>
          <w:b/>
          <w:i/>
          <w:sz w:val="18"/>
          <w:lang w:val="en-GB"/>
        </w:rPr>
        <w:t>COURSE CONTENT</w:t>
      </w:r>
      <w:bookmarkEnd w:id="1"/>
    </w:p>
    <w:p w14:paraId="50842DB9" w14:textId="77777777" w:rsidR="00977F4D" w:rsidRPr="00C437DF" w:rsidRDefault="00977F4D" w:rsidP="00977F4D">
      <w:pPr>
        <w:tabs>
          <w:tab w:val="clear" w:pos="284"/>
        </w:tabs>
        <w:spacing w:before="120"/>
        <w:rPr>
          <w:lang w:val="en-GB"/>
        </w:rPr>
      </w:pPr>
      <w:r w:rsidRPr="00C437DF">
        <w:rPr>
          <w:lang w:val="en-GB"/>
        </w:rPr>
        <w:t>Modul</w:t>
      </w:r>
      <w:r>
        <w:rPr>
          <w:lang w:val="en-GB"/>
        </w:rPr>
        <w:t>e</w:t>
      </w:r>
      <w:r w:rsidRPr="00C437DF">
        <w:rPr>
          <w:lang w:val="en-GB"/>
        </w:rPr>
        <w:t xml:space="preserve"> 1 - </w:t>
      </w:r>
      <w:r w:rsidRPr="00C75FD6">
        <w:rPr>
          <w:lang w:val="en-GB"/>
        </w:rPr>
        <w:t>European economic policy for sustainability</w:t>
      </w:r>
    </w:p>
    <w:p w14:paraId="79DAF08A" w14:textId="77777777" w:rsidR="00977F4D" w:rsidRPr="00C437DF" w:rsidRDefault="00977F4D" w:rsidP="00977F4D">
      <w:pPr>
        <w:pStyle w:val="Paragrafoelenco"/>
        <w:numPr>
          <w:ilvl w:val="1"/>
          <w:numId w:val="17"/>
        </w:numPr>
        <w:tabs>
          <w:tab w:val="clear" w:pos="284"/>
        </w:tabs>
        <w:spacing w:before="120"/>
        <w:rPr>
          <w:rFonts w:eastAsia="Times" w:cs="Times"/>
          <w:lang w:val="en-GB"/>
        </w:rPr>
      </w:pPr>
      <w:r w:rsidRPr="00C75FD6">
        <w:rPr>
          <w:lang w:val="en-GB"/>
        </w:rPr>
        <w:t>Market failure and reasons for economic policy: the European perspective</w:t>
      </w:r>
      <w:r>
        <w:rPr>
          <w:lang w:val="en-GB"/>
        </w:rPr>
        <w:t xml:space="preserve"> </w:t>
      </w:r>
    </w:p>
    <w:p w14:paraId="5F4AD245" w14:textId="77777777" w:rsidR="00977F4D" w:rsidRPr="00C437DF" w:rsidRDefault="00977F4D" w:rsidP="00977F4D">
      <w:pPr>
        <w:pStyle w:val="Paragrafoelenco"/>
        <w:numPr>
          <w:ilvl w:val="1"/>
          <w:numId w:val="17"/>
        </w:numPr>
        <w:rPr>
          <w:lang w:val="en-GB"/>
        </w:rPr>
      </w:pPr>
      <w:r w:rsidRPr="00C437DF">
        <w:rPr>
          <w:lang w:val="en-GB"/>
        </w:rPr>
        <w:lastRenderedPageBreak/>
        <w:t xml:space="preserve"> </w:t>
      </w:r>
      <w:r w:rsidRPr="00C75FD6">
        <w:rPr>
          <w:lang w:val="en-GB"/>
        </w:rPr>
        <w:t>The SDG</w:t>
      </w:r>
      <w:r>
        <w:rPr>
          <w:lang w:val="en-GB"/>
        </w:rPr>
        <w:t>s</w:t>
      </w:r>
      <w:r w:rsidRPr="00C75FD6">
        <w:rPr>
          <w:lang w:val="en-GB"/>
        </w:rPr>
        <w:t xml:space="preserve"> Agenda 2030 approach and economic policies for sustainable development in Europe: </w:t>
      </w:r>
      <w:r>
        <w:rPr>
          <w:lang w:val="en-GB"/>
        </w:rPr>
        <w:t xml:space="preserve">the </w:t>
      </w:r>
      <w:r w:rsidRPr="00C75FD6">
        <w:rPr>
          <w:lang w:val="en-GB"/>
        </w:rPr>
        <w:t xml:space="preserve">European Green Deal </w:t>
      </w:r>
      <w:r>
        <w:rPr>
          <w:lang w:val="en-GB"/>
        </w:rPr>
        <w:t xml:space="preserve"> </w:t>
      </w:r>
    </w:p>
    <w:p w14:paraId="54718FE2" w14:textId="77777777" w:rsidR="00977F4D" w:rsidRPr="00C437DF" w:rsidRDefault="00977F4D" w:rsidP="00977F4D">
      <w:pPr>
        <w:pStyle w:val="Paragrafoelenco"/>
        <w:numPr>
          <w:ilvl w:val="1"/>
          <w:numId w:val="17"/>
        </w:numPr>
        <w:rPr>
          <w:rFonts w:eastAsia="Times" w:cs="Times"/>
          <w:lang w:val="en-GB"/>
        </w:rPr>
      </w:pPr>
      <w:r w:rsidRPr="00C437DF">
        <w:rPr>
          <w:rFonts w:eastAsia="Times" w:cs="Times"/>
          <w:lang w:val="en-GB"/>
        </w:rPr>
        <w:t xml:space="preserve"> </w:t>
      </w:r>
      <w:r>
        <w:rPr>
          <w:rFonts w:eastAsia="Times" w:cs="Times"/>
          <w:lang w:val="en-GB"/>
        </w:rPr>
        <w:t>P</w:t>
      </w:r>
      <w:r w:rsidRPr="00C75FD6">
        <w:rPr>
          <w:rFonts w:eastAsia="Times" w:cs="Times"/>
          <w:lang w:val="en-GB"/>
        </w:rPr>
        <w:t>andemic and war economic polic</w:t>
      </w:r>
      <w:r>
        <w:rPr>
          <w:rFonts w:eastAsia="Times" w:cs="Times"/>
          <w:lang w:val="en-GB"/>
        </w:rPr>
        <w:t>ies</w:t>
      </w:r>
      <w:r w:rsidRPr="00C75FD6">
        <w:rPr>
          <w:rFonts w:eastAsia="Times" w:cs="Times"/>
          <w:lang w:val="en-GB"/>
        </w:rPr>
        <w:t xml:space="preserve">: Next Generation EU and </w:t>
      </w:r>
      <w:proofErr w:type="spellStart"/>
      <w:r w:rsidRPr="00C75FD6">
        <w:rPr>
          <w:rFonts w:eastAsia="Times" w:cs="Times"/>
          <w:lang w:val="en-GB"/>
        </w:rPr>
        <w:t>RePowerEU</w:t>
      </w:r>
      <w:proofErr w:type="spellEnd"/>
      <w:r w:rsidRPr="00C75FD6">
        <w:rPr>
          <w:rFonts w:eastAsia="Times" w:cs="Times"/>
          <w:lang w:val="en-GB"/>
        </w:rPr>
        <w:t xml:space="preserve"> </w:t>
      </w:r>
    </w:p>
    <w:p w14:paraId="23A9C3BE" w14:textId="77777777" w:rsidR="00977F4D" w:rsidRPr="00C437DF" w:rsidRDefault="00977F4D" w:rsidP="00977F4D">
      <w:pPr>
        <w:spacing w:before="120"/>
        <w:rPr>
          <w:rFonts w:eastAsia="Times" w:cs="Times"/>
          <w:lang w:val="en-GB"/>
        </w:rPr>
      </w:pPr>
    </w:p>
    <w:p w14:paraId="42C7266A" w14:textId="77777777" w:rsidR="00977F4D" w:rsidRPr="00C437DF" w:rsidRDefault="00977F4D" w:rsidP="00977F4D">
      <w:pPr>
        <w:rPr>
          <w:lang w:val="en-GB"/>
        </w:rPr>
      </w:pPr>
      <w:r w:rsidRPr="00C437DF">
        <w:rPr>
          <w:lang w:val="en-GB"/>
        </w:rPr>
        <w:t>Modul</w:t>
      </w:r>
      <w:r>
        <w:rPr>
          <w:lang w:val="en-GB"/>
        </w:rPr>
        <w:t>e</w:t>
      </w:r>
      <w:r w:rsidRPr="00C437DF">
        <w:rPr>
          <w:lang w:val="en-GB"/>
        </w:rPr>
        <w:t xml:space="preserve"> 2 – </w:t>
      </w:r>
      <w:r w:rsidRPr="00AC36F1">
        <w:rPr>
          <w:lang w:val="en-GB"/>
        </w:rPr>
        <w:t>Business and digit</w:t>
      </w:r>
      <w:r>
        <w:rPr>
          <w:lang w:val="en-GB"/>
        </w:rPr>
        <w:t>alis</w:t>
      </w:r>
      <w:r w:rsidRPr="00AC36F1">
        <w:rPr>
          <w:lang w:val="en-GB"/>
        </w:rPr>
        <w:t>ation policies</w:t>
      </w:r>
    </w:p>
    <w:p w14:paraId="6D199AE7" w14:textId="77777777" w:rsidR="00977F4D" w:rsidRPr="00C437DF" w:rsidRDefault="00977F4D" w:rsidP="00977F4D">
      <w:pPr>
        <w:pStyle w:val="Paragrafoelenco"/>
        <w:numPr>
          <w:ilvl w:val="1"/>
          <w:numId w:val="16"/>
        </w:numPr>
        <w:rPr>
          <w:lang w:val="en-GB"/>
        </w:rPr>
      </w:pPr>
      <w:r w:rsidRPr="00AC36F1">
        <w:rPr>
          <w:lang w:val="en-GB"/>
        </w:rPr>
        <w:t>Convergence, territorial competitiveness</w:t>
      </w:r>
      <w:r>
        <w:rPr>
          <w:lang w:val="en-GB"/>
        </w:rPr>
        <w:t>,</w:t>
      </w:r>
      <w:r w:rsidRPr="00AC36F1">
        <w:rPr>
          <w:lang w:val="en-GB"/>
        </w:rPr>
        <w:t xml:space="preserve"> and policies</w:t>
      </w:r>
      <w:r>
        <w:rPr>
          <w:lang w:val="en-GB"/>
        </w:rPr>
        <w:t xml:space="preserve"> for enterprises</w:t>
      </w:r>
      <w:r w:rsidRPr="00AC36F1">
        <w:rPr>
          <w:lang w:val="en-GB"/>
        </w:rPr>
        <w:t xml:space="preserve"> in Europe and in Italy </w:t>
      </w:r>
      <w:r>
        <w:rPr>
          <w:lang w:val="en-GB"/>
        </w:rPr>
        <w:t xml:space="preserve"> </w:t>
      </w:r>
    </w:p>
    <w:p w14:paraId="0A588D6D" w14:textId="77777777" w:rsidR="00977F4D" w:rsidRPr="00C437DF" w:rsidRDefault="00977F4D" w:rsidP="00977F4D">
      <w:pPr>
        <w:pStyle w:val="Paragrafoelenco"/>
        <w:numPr>
          <w:ilvl w:val="1"/>
          <w:numId w:val="16"/>
        </w:numPr>
        <w:rPr>
          <w:lang w:val="en-GB"/>
        </w:rPr>
      </w:pPr>
      <w:r w:rsidRPr="00C437DF">
        <w:rPr>
          <w:lang w:val="en-GB"/>
        </w:rPr>
        <w:t>The New European Innovation Agenda and Horizon Europe</w:t>
      </w:r>
    </w:p>
    <w:p w14:paraId="02364BAB" w14:textId="77777777" w:rsidR="00977F4D" w:rsidRPr="00C437DF" w:rsidRDefault="00977F4D" w:rsidP="00977F4D">
      <w:pPr>
        <w:pStyle w:val="Paragrafoelenco"/>
        <w:numPr>
          <w:ilvl w:val="1"/>
          <w:numId w:val="16"/>
        </w:numPr>
        <w:rPr>
          <w:lang w:val="en-GB"/>
        </w:rPr>
      </w:pPr>
      <w:r w:rsidRPr="00AC36F1">
        <w:rPr>
          <w:lang w:val="en-GB"/>
        </w:rPr>
        <w:t xml:space="preserve">Policies to support innovation: industrial clusters, Industry 4.0 and digitalisation </w:t>
      </w:r>
      <w:r>
        <w:rPr>
          <w:lang w:val="en-GB"/>
        </w:rPr>
        <w:t xml:space="preserve"> </w:t>
      </w:r>
    </w:p>
    <w:p w14:paraId="78019404" w14:textId="77777777" w:rsidR="00977F4D" w:rsidRPr="00C437DF" w:rsidRDefault="00977F4D" w:rsidP="00977F4D">
      <w:pPr>
        <w:tabs>
          <w:tab w:val="clear" w:pos="284"/>
          <w:tab w:val="left" w:pos="0"/>
          <w:tab w:val="num" w:pos="142"/>
        </w:tabs>
        <w:rPr>
          <w:lang w:val="en-GB"/>
        </w:rPr>
      </w:pPr>
    </w:p>
    <w:p w14:paraId="6F9866CC" w14:textId="77777777" w:rsidR="00977F4D" w:rsidRPr="00C437DF" w:rsidRDefault="00977F4D" w:rsidP="00977F4D">
      <w:pPr>
        <w:spacing w:before="120"/>
        <w:rPr>
          <w:lang w:val="en-GB"/>
        </w:rPr>
      </w:pPr>
      <w:bookmarkStart w:id="2" w:name="_Hlk76557173"/>
      <w:r w:rsidRPr="00C437DF">
        <w:rPr>
          <w:b/>
          <w:i/>
          <w:sz w:val="18"/>
          <w:lang w:val="en-GB"/>
        </w:rPr>
        <w:t>READING LIST</w:t>
      </w:r>
      <w:bookmarkEnd w:id="2"/>
      <w:r w:rsidRPr="00C437DF">
        <w:rPr>
          <w:rStyle w:val="Rimandonotaapidipagina"/>
          <w:b/>
          <w:i/>
          <w:sz w:val="18"/>
          <w:lang w:val="en-GB"/>
        </w:rPr>
        <w:footnoteReference w:id="1"/>
      </w:r>
    </w:p>
    <w:p w14:paraId="44AC8EEE" w14:textId="77777777" w:rsidR="00977F4D" w:rsidRPr="00C437DF" w:rsidRDefault="00977F4D" w:rsidP="00977F4D">
      <w:pPr>
        <w:tabs>
          <w:tab w:val="clear" w:pos="284"/>
        </w:tabs>
        <w:spacing w:before="120" w:line="220" w:lineRule="exact"/>
        <w:rPr>
          <w:noProof/>
          <w:sz w:val="18"/>
          <w:lang w:val="en-GB"/>
        </w:rPr>
      </w:pPr>
      <w:r w:rsidRPr="00AC36F1">
        <w:rPr>
          <w:noProof/>
          <w:sz w:val="18"/>
          <w:lang w:val="en-GB"/>
        </w:rPr>
        <w:t xml:space="preserve">The </w:t>
      </w:r>
      <w:r>
        <w:rPr>
          <w:noProof/>
          <w:sz w:val="18"/>
          <w:lang w:val="en-GB"/>
        </w:rPr>
        <w:t>lecturer</w:t>
      </w:r>
      <w:r w:rsidRPr="00AC36F1">
        <w:rPr>
          <w:noProof/>
          <w:sz w:val="18"/>
          <w:lang w:val="en-GB"/>
        </w:rPr>
        <w:t xml:space="preserve"> will distribute </w:t>
      </w:r>
      <w:r>
        <w:rPr>
          <w:noProof/>
          <w:sz w:val="18"/>
          <w:lang w:val="en-GB"/>
        </w:rPr>
        <w:t>coursepacks</w:t>
      </w:r>
      <w:r w:rsidRPr="00AC36F1">
        <w:rPr>
          <w:noProof/>
          <w:sz w:val="18"/>
          <w:lang w:val="en-GB"/>
        </w:rPr>
        <w:t xml:space="preserve"> and materials for each of the topics indicated. These will be papers, reports and websites </w:t>
      </w:r>
      <w:r>
        <w:rPr>
          <w:noProof/>
          <w:sz w:val="18"/>
          <w:lang w:val="en-GB"/>
        </w:rPr>
        <w:t>where students can</w:t>
      </w:r>
      <w:r w:rsidRPr="00AC36F1">
        <w:rPr>
          <w:noProof/>
          <w:sz w:val="18"/>
          <w:lang w:val="en-GB"/>
        </w:rPr>
        <w:t xml:space="preserve"> obtain information regarding </w:t>
      </w:r>
      <w:r>
        <w:rPr>
          <w:noProof/>
          <w:sz w:val="18"/>
          <w:lang w:val="en-GB"/>
        </w:rPr>
        <w:t xml:space="preserve">the </w:t>
      </w:r>
      <w:r w:rsidRPr="00AC36F1">
        <w:rPr>
          <w:noProof/>
          <w:sz w:val="18"/>
          <w:lang w:val="en-GB"/>
        </w:rPr>
        <w:t xml:space="preserve">policies. Listed below are some of the proposed tools, which </w:t>
      </w:r>
      <w:r>
        <w:rPr>
          <w:noProof/>
          <w:sz w:val="18"/>
          <w:lang w:val="en-GB"/>
        </w:rPr>
        <w:t xml:space="preserve">however </w:t>
      </w:r>
      <w:r w:rsidRPr="00AC36F1">
        <w:rPr>
          <w:noProof/>
          <w:sz w:val="18"/>
          <w:lang w:val="en-GB"/>
        </w:rPr>
        <w:t>are not to be considered exhaustive</w:t>
      </w:r>
      <w:r w:rsidRPr="00C437DF">
        <w:rPr>
          <w:noProof/>
          <w:sz w:val="18"/>
          <w:lang w:val="en-GB"/>
        </w:rPr>
        <w:t>.</w:t>
      </w:r>
    </w:p>
    <w:p w14:paraId="2AF40CD1" w14:textId="77777777" w:rsidR="00977F4D" w:rsidRPr="00C437DF" w:rsidRDefault="00977F4D" w:rsidP="00977F4D">
      <w:pPr>
        <w:tabs>
          <w:tab w:val="clear" w:pos="284"/>
        </w:tabs>
        <w:spacing w:before="120" w:line="220" w:lineRule="exact"/>
        <w:rPr>
          <w:i/>
          <w:noProof/>
          <w:sz w:val="18"/>
          <w:lang w:val="en-GB"/>
        </w:rPr>
      </w:pPr>
      <w:r w:rsidRPr="00C437DF">
        <w:rPr>
          <w:i/>
          <w:noProof/>
          <w:sz w:val="18"/>
          <w:lang w:val="en-GB"/>
        </w:rPr>
        <w:t>Modul</w:t>
      </w:r>
      <w:r>
        <w:rPr>
          <w:i/>
          <w:noProof/>
          <w:sz w:val="18"/>
          <w:lang w:val="en-GB"/>
        </w:rPr>
        <w:t>e</w:t>
      </w:r>
      <w:r w:rsidRPr="00C437DF">
        <w:rPr>
          <w:i/>
          <w:noProof/>
          <w:sz w:val="18"/>
          <w:lang w:val="en-GB"/>
        </w:rPr>
        <w:t xml:space="preserve"> 1</w:t>
      </w:r>
    </w:p>
    <w:p w14:paraId="6F9C64EC" w14:textId="77777777" w:rsidR="00977F4D" w:rsidRPr="00C437DF" w:rsidRDefault="00977F4D" w:rsidP="00977F4D">
      <w:pPr>
        <w:pStyle w:val="Paragrafoelenco"/>
        <w:numPr>
          <w:ilvl w:val="0"/>
          <w:numId w:val="20"/>
        </w:numPr>
        <w:tabs>
          <w:tab w:val="clear" w:pos="284"/>
        </w:tabs>
        <w:spacing w:before="120" w:line="220" w:lineRule="exact"/>
        <w:rPr>
          <w:i/>
          <w:noProof/>
          <w:sz w:val="18"/>
          <w:lang w:val="en-GB"/>
        </w:rPr>
      </w:pPr>
      <w:r w:rsidRPr="00C437DF">
        <w:rPr>
          <w:i/>
          <w:noProof/>
          <w:sz w:val="18"/>
          <w:lang w:val="en-GB"/>
        </w:rPr>
        <w:t>Fetting, C. (2020). “The European Green Deal”, ESDN Report, December 2020, ESDN Office, Vienna.</w:t>
      </w:r>
    </w:p>
    <w:p w14:paraId="5DD89803" w14:textId="77777777" w:rsidR="00977F4D" w:rsidRPr="00C437DF" w:rsidRDefault="00977F4D" w:rsidP="00977F4D">
      <w:pPr>
        <w:pStyle w:val="Paragrafoelenco"/>
        <w:numPr>
          <w:ilvl w:val="0"/>
          <w:numId w:val="20"/>
        </w:numPr>
        <w:tabs>
          <w:tab w:val="clear" w:pos="284"/>
        </w:tabs>
        <w:spacing w:before="120" w:line="220" w:lineRule="exact"/>
        <w:rPr>
          <w:i/>
          <w:noProof/>
          <w:sz w:val="18"/>
          <w:lang w:val="en-GB"/>
        </w:rPr>
      </w:pPr>
      <w:r w:rsidRPr="00C437DF">
        <w:rPr>
          <w:i/>
          <w:noProof/>
          <w:sz w:val="18"/>
          <w:lang w:val="en-GB"/>
        </w:rPr>
        <w:t xml:space="preserve">Apollonia Miola, Fritz Schiltz (2019), “Measuring sustainable development goals performance: How to monitor policy action in the 2030 Agenda implementation?, Ecological Economics, Volume 164, 2019, 106373, ISSN 0921-8009, </w:t>
      </w:r>
      <w:hyperlink r:id="rId11" w:history="1">
        <w:r w:rsidRPr="00C437DF">
          <w:rPr>
            <w:rStyle w:val="Collegamentoipertestuale"/>
            <w:i/>
            <w:noProof/>
            <w:sz w:val="18"/>
            <w:lang w:val="en-GB"/>
          </w:rPr>
          <w:t>https://doi.org/10.1016/j.ecolecon.2019.106373</w:t>
        </w:r>
      </w:hyperlink>
      <w:r w:rsidRPr="00C437DF">
        <w:rPr>
          <w:i/>
          <w:noProof/>
          <w:sz w:val="18"/>
          <w:lang w:val="en-GB"/>
        </w:rPr>
        <w:t>.</w:t>
      </w:r>
    </w:p>
    <w:p w14:paraId="594C82AE" w14:textId="77777777" w:rsidR="00977F4D" w:rsidRPr="00C437DF" w:rsidRDefault="00977F4D" w:rsidP="00977F4D">
      <w:pPr>
        <w:pStyle w:val="Paragrafoelenco"/>
        <w:numPr>
          <w:ilvl w:val="0"/>
          <w:numId w:val="20"/>
        </w:numPr>
        <w:tabs>
          <w:tab w:val="clear" w:pos="284"/>
        </w:tabs>
        <w:spacing w:before="120" w:line="220" w:lineRule="exact"/>
        <w:rPr>
          <w:i/>
          <w:noProof/>
          <w:sz w:val="18"/>
          <w:lang w:val="en-GB"/>
        </w:rPr>
      </w:pPr>
      <w:r w:rsidRPr="008316ED">
        <w:rPr>
          <w:i/>
          <w:noProof/>
          <w:sz w:val="18"/>
        </w:rPr>
        <w:t xml:space="preserve">Codogno, L., van den Noord, P. (2022). </w:t>
      </w:r>
      <w:r w:rsidRPr="00C437DF">
        <w:rPr>
          <w:i/>
          <w:noProof/>
          <w:sz w:val="18"/>
          <w:lang w:val="en-GB"/>
        </w:rPr>
        <w:t xml:space="preserve">Assessing Next Generation EU. In: Paganetto, L. (eds) Economic Challenges for Europe After the Pandemic. Springer Proceedings in Business and Economics. Springer, Cham. </w:t>
      </w:r>
      <w:hyperlink r:id="rId12" w:history="1">
        <w:r w:rsidRPr="00C437DF">
          <w:rPr>
            <w:rStyle w:val="Collegamentoipertestuale"/>
            <w:i/>
            <w:noProof/>
            <w:sz w:val="18"/>
            <w:lang w:val="en-GB"/>
          </w:rPr>
          <w:t>https://doi.org/10.1007/978-3-031-10302-5_5</w:t>
        </w:r>
      </w:hyperlink>
    </w:p>
    <w:p w14:paraId="673E3403" w14:textId="77777777" w:rsidR="00977F4D" w:rsidRPr="00C437DF" w:rsidRDefault="00977F4D" w:rsidP="00977F4D">
      <w:pPr>
        <w:pStyle w:val="Paragrafoelenco"/>
        <w:numPr>
          <w:ilvl w:val="0"/>
          <w:numId w:val="20"/>
        </w:numPr>
        <w:tabs>
          <w:tab w:val="clear" w:pos="284"/>
        </w:tabs>
        <w:spacing w:before="120" w:line="220" w:lineRule="exact"/>
        <w:rPr>
          <w:i/>
          <w:noProof/>
          <w:sz w:val="18"/>
          <w:lang w:val="en-GB"/>
        </w:rPr>
      </w:pPr>
      <w:r w:rsidRPr="00C437DF">
        <w:rPr>
          <w:i/>
          <w:noProof/>
          <w:sz w:val="18"/>
          <w:lang w:val="en-GB"/>
        </w:rPr>
        <w:t xml:space="preserve">Laurent A. Lambert, Jad Tayah, Caroline Lee-Schmid, Monged Abdalla, Ismail Abdallah, Abdalftah H.M. Ali, Suhail Esmail, Waleed Ahmed (2022), “The EU's natural gas Cold War and diversification challenges”, Energy Strategy Reviews, Volume 43, 2022, 100934,, ISSN 2211-467X,, </w:t>
      </w:r>
      <w:hyperlink r:id="rId13" w:history="1">
        <w:r w:rsidRPr="00C437DF">
          <w:rPr>
            <w:rStyle w:val="Collegamentoipertestuale"/>
            <w:i/>
            <w:noProof/>
            <w:sz w:val="18"/>
            <w:lang w:val="en-GB"/>
          </w:rPr>
          <w:t>https://doi.org/10.1016/j.esr.2022.100934</w:t>
        </w:r>
      </w:hyperlink>
    </w:p>
    <w:p w14:paraId="585E3905" w14:textId="77777777" w:rsidR="00977F4D" w:rsidRPr="00C437DF" w:rsidRDefault="00977F4D" w:rsidP="00977F4D">
      <w:pPr>
        <w:tabs>
          <w:tab w:val="clear" w:pos="284"/>
        </w:tabs>
        <w:spacing w:before="120" w:line="220" w:lineRule="exact"/>
        <w:rPr>
          <w:i/>
          <w:noProof/>
          <w:sz w:val="18"/>
          <w:lang w:val="en-GB"/>
        </w:rPr>
      </w:pPr>
      <w:r w:rsidRPr="00C437DF">
        <w:rPr>
          <w:i/>
          <w:noProof/>
          <w:sz w:val="18"/>
          <w:lang w:val="en-GB"/>
        </w:rPr>
        <w:t>Module 2</w:t>
      </w:r>
    </w:p>
    <w:p w14:paraId="31BE5E2B" w14:textId="77777777" w:rsidR="00977F4D" w:rsidRPr="00C437DF" w:rsidRDefault="00977F4D" w:rsidP="00977F4D">
      <w:pPr>
        <w:numPr>
          <w:ilvl w:val="0"/>
          <w:numId w:val="12"/>
        </w:numPr>
        <w:tabs>
          <w:tab w:val="clear" w:pos="284"/>
        </w:tabs>
        <w:spacing w:before="120" w:line="220" w:lineRule="exact"/>
        <w:rPr>
          <w:noProof/>
          <w:sz w:val="18"/>
          <w:lang w:val="en-GB"/>
        </w:rPr>
      </w:pPr>
      <w:r w:rsidRPr="00C437DF">
        <w:rPr>
          <w:noProof/>
          <w:sz w:val="18"/>
          <w:lang w:val="en-GB"/>
        </w:rPr>
        <w:t xml:space="preserve">Barca F., McCann P. and Rodriguez Pose A., </w:t>
      </w:r>
      <w:r w:rsidRPr="00C437DF">
        <w:rPr>
          <w:i/>
          <w:noProof/>
          <w:sz w:val="18"/>
          <w:lang w:val="en-GB"/>
        </w:rPr>
        <w:t>The case for regional development intervention: Place-based versus place-neutral approaches</w:t>
      </w:r>
      <w:r w:rsidRPr="00C437DF">
        <w:rPr>
          <w:noProof/>
          <w:sz w:val="18"/>
          <w:lang w:val="en-GB"/>
        </w:rPr>
        <w:t>, WP series in Economics and Social Sciences, IMDEA, 2011</w:t>
      </w:r>
    </w:p>
    <w:p w14:paraId="6F2F59EE" w14:textId="77777777" w:rsidR="00977F4D" w:rsidRPr="00C437DF" w:rsidRDefault="00977F4D" w:rsidP="00977F4D">
      <w:pPr>
        <w:numPr>
          <w:ilvl w:val="0"/>
          <w:numId w:val="12"/>
        </w:numPr>
        <w:tabs>
          <w:tab w:val="clear" w:pos="284"/>
        </w:tabs>
        <w:spacing w:before="120" w:line="220" w:lineRule="exact"/>
        <w:rPr>
          <w:noProof/>
          <w:sz w:val="18"/>
          <w:lang w:val="en-GB"/>
        </w:rPr>
      </w:pPr>
      <w:r w:rsidRPr="00C437DF">
        <w:rPr>
          <w:noProof/>
          <w:sz w:val="18"/>
          <w:lang w:val="en-GB"/>
        </w:rPr>
        <w:lastRenderedPageBreak/>
        <w:t xml:space="preserve">Guastella G. - Timpano F., </w:t>
      </w:r>
      <w:r w:rsidRPr="00C437DF">
        <w:rPr>
          <w:i/>
          <w:noProof/>
          <w:sz w:val="18"/>
          <w:lang w:val="en-GB"/>
        </w:rPr>
        <w:t>Knowledge, innovation, agglomeration and regional convergence in the EU: motivating place-based regional intervention</w:t>
      </w:r>
      <w:r w:rsidRPr="00C437DF">
        <w:rPr>
          <w:noProof/>
          <w:sz w:val="18"/>
          <w:lang w:val="en-GB"/>
        </w:rPr>
        <w:t>, Review of Regional Studies, 2016</w:t>
      </w:r>
    </w:p>
    <w:p w14:paraId="0699F627" w14:textId="77777777" w:rsidR="00977F4D" w:rsidRPr="00C437DF" w:rsidRDefault="00977F4D" w:rsidP="00977F4D">
      <w:pPr>
        <w:numPr>
          <w:ilvl w:val="0"/>
          <w:numId w:val="12"/>
        </w:numPr>
        <w:tabs>
          <w:tab w:val="clear" w:pos="284"/>
        </w:tabs>
        <w:spacing w:before="120" w:line="220" w:lineRule="exact"/>
        <w:rPr>
          <w:noProof/>
          <w:sz w:val="18"/>
          <w:lang w:val="en-GB"/>
        </w:rPr>
      </w:pPr>
      <w:r w:rsidRPr="00C437DF">
        <w:rPr>
          <w:noProof/>
          <w:sz w:val="18"/>
          <w:lang w:val="en-GB"/>
        </w:rPr>
        <w:t xml:space="preserve">Fabrizi E,, Guastella G., Marta S. &amp; F. Timpano, </w:t>
      </w:r>
      <w:r w:rsidRPr="00C437DF">
        <w:rPr>
          <w:i/>
          <w:noProof/>
          <w:sz w:val="18"/>
          <w:lang w:val="en-GB"/>
        </w:rPr>
        <w:t>Determinants of intra distribution dynamics in European regions: an empirical assessment of the role of structural funds</w:t>
      </w:r>
      <w:r w:rsidRPr="00C437DF">
        <w:rPr>
          <w:noProof/>
          <w:sz w:val="18"/>
          <w:lang w:val="en-GB"/>
        </w:rPr>
        <w:t>, Tijdschrift voor Economische en Sociale Geografie, 2015</w:t>
      </w:r>
    </w:p>
    <w:p w14:paraId="5B84DEDA" w14:textId="77777777" w:rsidR="00977F4D" w:rsidRPr="00C437DF" w:rsidRDefault="00977F4D" w:rsidP="00977F4D">
      <w:pPr>
        <w:numPr>
          <w:ilvl w:val="0"/>
          <w:numId w:val="12"/>
        </w:numPr>
        <w:tabs>
          <w:tab w:val="clear" w:pos="284"/>
        </w:tabs>
        <w:spacing w:before="120" w:line="220" w:lineRule="exact"/>
        <w:rPr>
          <w:noProof/>
          <w:sz w:val="18"/>
          <w:lang w:val="en-GB"/>
        </w:rPr>
      </w:pPr>
      <w:r w:rsidRPr="00C437DF">
        <w:rPr>
          <w:noProof/>
          <w:sz w:val="18"/>
          <w:lang w:val="en-GB"/>
        </w:rPr>
        <w:t xml:space="preserve">Krugman P., </w:t>
      </w:r>
      <w:r w:rsidRPr="00C437DF">
        <w:rPr>
          <w:i/>
          <w:noProof/>
          <w:sz w:val="18"/>
          <w:lang w:val="en-GB"/>
        </w:rPr>
        <w:t>Territorial competitiveness: a dangerous obsession</w:t>
      </w:r>
      <w:r w:rsidRPr="00C437DF">
        <w:rPr>
          <w:noProof/>
          <w:sz w:val="18"/>
          <w:lang w:val="en-GB"/>
        </w:rPr>
        <w:t>, Policy Affairs, 1994</w:t>
      </w:r>
    </w:p>
    <w:p w14:paraId="1366433D" w14:textId="77777777" w:rsidR="00977F4D" w:rsidRPr="00C437DF" w:rsidRDefault="00977F4D" w:rsidP="00977F4D">
      <w:pPr>
        <w:numPr>
          <w:ilvl w:val="0"/>
          <w:numId w:val="12"/>
        </w:numPr>
        <w:tabs>
          <w:tab w:val="clear" w:pos="284"/>
        </w:tabs>
        <w:spacing w:before="120" w:line="220" w:lineRule="exact"/>
        <w:rPr>
          <w:noProof/>
          <w:sz w:val="18"/>
          <w:lang w:val="en-GB"/>
        </w:rPr>
      </w:pPr>
      <w:r w:rsidRPr="00C437DF">
        <w:rPr>
          <w:noProof/>
          <w:sz w:val="18"/>
          <w:lang w:val="en-GB"/>
        </w:rPr>
        <w:t xml:space="preserve">Lall S, </w:t>
      </w:r>
      <w:r w:rsidRPr="00C437DF">
        <w:rPr>
          <w:i/>
          <w:noProof/>
          <w:sz w:val="18"/>
          <w:lang w:val="en-GB"/>
        </w:rPr>
        <w:t>Competitiveness Indices and Developing Countries: An Economic Evaluation of the Global Competitiveness Report</w:t>
      </w:r>
      <w:r w:rsidRPr="00C437DF">
        <w:rPr>
          <w:noProof/>
          <w:sz w:val="18"/>
          <w:lang w:val="en-GB"/>
        </w:rPr>
        <w:t>, World Development, 2001</w:t>
      </w:r>
    </w:p>
    <w:p w14:paraId="552E402B" w14:textId="77777777" w:rsidR="00977F4D" w:rsidRPr="00C437DF" w:rsidRDefault="00977F4D" w:rsidP="00977F4D">
      <w:pPr>
        <w:numPr>
          <w:ilvl w:val="0"/>
          <w:numId w:val="12"/>
        </w:numPr>
        <w:tabs>
          <w:tab w:val="clear" w:pos="284"/>
        </w:tabs>
        <w:spacing w:before="120" w:line="220" w:lineRule="exact"/>
        <w:rPr>
          <w:noProof/>
          <w:sz w:val="18"/>
          <w:lang w:val="en-GB"/>
        </w:rPr>
      </w:pPr>
      <w:r w:rsidRPr="008316ED">
        <w:rPr>
          <w:noProof/>
          <w:sz w:val="18"/>
        </w:rPr>
        <w:t xml:space="preserve">Carlini, </w:t>
      </w:r>
      <w:r w:rsidRPr="008316ED">
        <w:rPr>
          <w:i/>
          <w:noProof/>
          <w:sz w:val="18"/>
        </w:rPr>
        <w:t xml:space="preserve">Nuove politiche industriali per la trasformazione digitale delle imprese. </w:t>
      </w:r>
      <w:r w:rsidRPr="00C437DF">
        <w:rPr>
          <w:i/>
          <w:noProof/>
          <w:sz w:val="18"/>
          <w:lang w:val="en-GB"/>
        </w:rPr>
        <w:t>Il Piano Nazionale Industria 4.0</w:t>
      </w:r>
      <w:r w:rsidRPr="00C437DF">
        <w:rPr>
          <w:noProof/>
          <w:sz w:val="18"/>
          <w:lang w:val="en-GB"/>
        </w:rPr>
        <w:t xml:space="preserve">, Economia Italiana, 2017, 1-2-3 </w:t>
      </w:r>
    </w:p>
    <w:p w14:paraId="6A60969F" w14:textId="77777777" w:rsidR="00977F4D" w:rsidRPr="00C437DF" w:rsidRDefault="00977F4D" w:rsidP="00977F4D">
      <w:pPr>
        <w:numPr>
          <w:ilvl w:val="0"/>
          <w:numId w:val="12"/>
        </w:numPr>
        <w:tabs>
          <w:tab w:val="clear" w:pos="284"/>
        </w:tabs>
        <w:spacing w:before="120" w:line="220" w:lineRule="exact"/>
        <w:rPr>
          <w:noProof/>
          <w:sz w:val="18"/>
          <w:lang w:val="en-GB"/>
        </w:rPr>
      </w:pPr>
      <w:r w:rsidRPr="00C437DF">
        <w:rPr>
          <w:noProof/>
          <w:sz w:val="18"/>
          <w:lang w:val="en-GB"/>
        </w:rPr>
        <w:t xml:space="preserve">Fiasché, M., Timpano, F., </w:t>
      </w:r>
      <w:r w:rsidRPr="00C437DF">
        <w:rPr>
          <w:i/>
          <w:noProof/>
          <w:sz w:val="18"/>
          <w:lang w:val="en-GB"/>
        </w:rPr>
        <w:t>The Italian approach to Industry 4.0: policy approach and managerial implications in a SMEs environment</w:t>
      </w:r>
      <w:r w:rsidRPr="00C437DF">
        <w:rPr>
          <w:noProof/>
          <w:sz w:val="18"/>
          <w:lang w:val="en-GB"/>
        </w:rPr>
        <w:t>, Springer-Aedem, 2018</w:t>
      </w:r>
    </w:p>
    <w:p w14:paraId="167F4C46" w14:textId="77777777" w:rsidR="00977F4D" w:rsidRPr="008316ED" w:rsidRDefault="00977F4D" w:rsidP="00977F4D">
      <w:pPr>
        <w:numPr>
          <w:ilvl w:val="0"/>
          <w:numId w:val="12"/>
        </w:numPr>
        <w:tabs>
          <w:tab w:val="clear" w:pos="284"/>
        </w:tabs>
        <w:spacing w:before="120" w:line="220" w:lineRule="exact"/>
        <w:rPr>
          <w:noProof/>
          <w:sz w:val="18"/>
        </w:rPr>
      </w:pPr>
      <w:r w:rsidRPr="008316ED">
        <w:rPr>
          <w:noProof/>
          <w:sz w:val="18"/>
        </w:rPr>
        <w:t xml:space="preserve">Timpano, F., </w:t>
      </w:r>
      <w:r w:rsidRPr="008316ED">
        <w:rPr>
          <w:i/>
          <w:noProof/>
          <w:sz w:val="18"/>
        </w:rPr>
        <w:t>Cluster produttivi e sviluppo locale: il problema dell'unità di analisi</w:t>
      </w:r>
      <w:r w:rsidRPr="008316ED">
        <w:rPr>
          <w:noProof/>
          <w:sz w:val="18"/>
        </w:rPr>
        <w:t xml:space="preserve"> in Ciciotti E. – Rizzi P., Politiche per lo sviluppo territoriale, Carocci, 2005</w:t>
      </w:r>
    </w:p>
    <w:p w14:paraId="2C9DCC3C" w14:textId="77777777" w:rsidR="00977F4D" w:rsidRPr="00C437DF" w:rsidRDefault="00977F4D" w:rsidP="00977F4D">
      <w:pPr>
        <w:numPr>
          <w:ilvl w:val="0"/>
          <w:numId w:val="12"/>
        </w:numPr>
        <w:tabs>
          <w:tab w:val="clear" w:pos="284"/>
        </w:tabs>
        <w:spacing w:before="120" w:line="220" w:lineRule="exact"/>
        <w:rPr>
          <w:noProof/>
          <w:sz w:val="18"/>
          <w:szCs w:val="18"/>
          <w:lang w:val="en-GB"/>
        </w:rPr>
      </w:pPr>
      <w:r w:rsidRPr="00C437DF">
        <w:rPr>
          <w:noProof/>
          <w:sz w:val="18"/>
          <w:szCs w:val="18"/>
          <w:lang w:val="en-GB"/>
        </w:rPr>
        <w:t xml:space="preserve">Calegari, E., Fabrizi, E., Guastella G., Timpano F., </w:t>
      </w:r>
      <w:r w:rsidRPr="00C437DF">
        <w:rPr>
          <w:i/>
          <w:noProof/>
          <w:sz w:val="18"/>
          <w:szCs w:val="18"/>
          <w:lang w:val="en-GB"/>
        </w:rPr>
        <w:t>Reconsidering the drivers of territorial innovation: new evidence on the spatial knowledge production function in the EU Regions</w:t>
      </w:r>
      <w:r w:rsidRPr="00C437DF">
        <w:rPr>
          <w:noProof/>
          <w:sz w:val="18"/>
          <w:szCs w:val="18"/>
          <w:lang w:val="en-GB"/>
        </w:rPr>
        <w:t>, Rivista Internazionale di scienze sociali, n.3 – 2017</w:t>
      </w:r>
    </w:p>
    <w:p w14:paraId="3CB0D31E" w14:textId="77777777" w:rsidR="00977F4D" w:rsidRPr="00C437DF" w:rsidRDefault="00977F4D" w:rsidP="00977F4D">
      <w:pPr>
        <w:tabs>
          <w:tab w:val="clear" w:pos="284"/>
        </w:tabs>
        <w:spacing w:before="120" w:line="220" w:lineRule="exact"/>
        <w:rPr>
          <w:i/>
          <w:iCs/>
          <w:noProof/>
          <w:sz w:val="18"/>
          <w:szCs w:val="18"/>
          <w:lang w:val="en-GB"/>
        </w:rPr>
      </w:pPr>
      <w:r w:rsidRPr="00C437DF">
        <w:rPr>
          <w:i/>
          <w:iCs/>
          <w:noProof/>
          <w:sz w:val="18"/>
          <w:szCs w:val="18"/>
          <w:lang w:val="en-GB"/>
        </w:rPr>
        <w:t>R</w:t>
      </w:r>
      <w:r>
        <w:rPr>
          <w:i/>
          <w:iCs/>
          <w:noProof/>
          <w:sz w:val="18"/>
          <w:szCs w:val="18"/>
          <w:lang w:val="en-GB"/>
        </w:rPr>
        <w:t>eports</w:t>
      </w:r>
    </w:p>
    <w:p w14:paraId="669FFE03" w14:textId="77777777" w:rsidR="00977F4D" w:rsidRPr="008316ED" w:rsidDel="00D54AA9" w:rsidRDefault="00977F4D" w:rsidP="00977F4D">
      <w:pPr>
        <w:pStyle w:val="Paragrafoelenco"/>
        <w:numPr>
          <w:ilvl w:val="0"/>
          <w:numId w:val="19"/>
        </w:numPr>
        <w:tabs>
          <w:tab w:val="clear" w:pos="284"/>
        </w:tabs>
        <w:spacing w:before="120" w:line="220" w:lineRule="exact"/>
        <w:rPr>
          <w:i/>
          <w:iCs/>
          <w:noProof/>
          <w:sz w:val="18"/>
          <w:szCs w:val="18"/>
        </w:rPr>
      </w:pPr>
      <w:r w:rsidRPr="008316ED">
        <w:rPr>
          <w:noProof/>
          <w:sz w:val="18"/>
          <w:szCs w:val="18"/>
        </w:rPr>
        <w:t>EU Commission, “</w:t>
      </w:r>
      <w:r w:rsidRPr="008316ED">
        <w:rPr>
          <w:i/>
          <w:noProof/>
          <w:sz w:val="18"/>
          <w:szCs w:val="18"/>
        </w:rPr>
        <w:t>La coesione in Europa in vista del 2050</w:t>
      </w:r>
      <w:r w:rsidRPr="008316ED">
        <w:rPr>
          <w:noProof/>
          <w:sz w:val="18"/>
          <w:szCs w:val="18"/>
        </w:rPr>
        <w:t>”, Eighth report on economic, social and territorial cohesion in Europe, 2021</w:t>
      </w:r>
    </w:p>
    <w:p w14:paraId="22E0AA4F" w14:textId="77777777" w:rsidR="00977F4D" w:rsidRPr="00C437DF" w:rsidRDefault="00977F4D" w:rsidP="00977F4D">
      <w:pPr>
        <w:numPr>
          <w:ilvl w:val="0"/>
          <w:numId w:val="11"/>
        </w:numPr>
        <w:tabs>
          <w:tab w:val="clear" w:pos="284"/>
        </w:tabs>
        <w:spacing w:before="120" w:line="220" w:lineRule="exact"/>
        <w:rPr>
          <w:noProof/>
          <w:sz w:val="18"/>
          <w:szCs w:val="18"/>
          <w:lang w:val="en-GB"/>
        </w:rPr>
      </w:pPr>
      <w:r w:rsidRPr="00C437DF">
        <w:rPr>
          <w:noProof/>
          <w:sz w:val="18"/>
          <w:szCs w:val="18"/>
          <w:lang w:val="en-GB"/>
        </w:rPr>
        <w:t xml:space="preserve">World Economic Forum, </w:t>
      </w:r>
      <w:r w:rsidRPr="00C437DF">
        <w:rPr>
          <w:i/>
          <w:noProof/>
          <w:sz w:val="18"/>
          <w:szCs w:val="18"/>
          <w:lang w:val="en-GB"/>
        </w:rPr>
        <w:t>“Global Competitiveness Report</w:t>
      </w:r>
      <w:r w:rsidRPr="00C437DF">
        <w:rPr>
          <w:noProof/>
          <w:sz w:val="18"/>
          <w:szCs w:val="18"/>
          <w:lang w:val="en-GB"/>
        </w:rPr>
        <w:t xml:space="preserve"> 2020”, 2021</w:t>
      </w:r>
    </w:p>
    <w:p w14:paraId="1FF25DC9" w14:textId="77777777" w:rsidR="00977F4D" w:rsidRPr="00C437DF" w:rsidRDefault="00977F4D" w:rsidP="00977F4D">
      <w:pPr>
        <w:numPr>
          <w:ilvl w:val="0"/>
          <w:numId w:val="11"/>
        </w:numPr>
        <w:tabs>
          <w:tab w:val="clear" w:pos="284"/>
        </w:tabs>
        <w:spacing w:before="120" w:line="220" w:lineRule="exact"/>
        <w:rPr>
          <w:rFonts w:eastAsia="Times" w:cs="Times"/>
          <w:noProof/>
          <w:sz w:val="18"/>
          <w:szCs w:val="18"/>
          <w:lang w:val="en-GB"/>
        </w:rPr>
      </w:pPr>
      <w:r w:rsidRPr="00C437DF">
        <w:rPr>
          <w:noProof/>
          <w:sz w:val="18"/>
          <w:szCs w:val="18"/>
          <w:lang w:val="en-GB"/>
        </w:rPr>
        <w:t>EU Commission, “</w:t>
      </w:r>
      <w:r w:rsidRPr="00C437DF">
        <w:rPr>
          <w:i/>
          <w:noProof/>
          <w:sz w:val="18"/>
          <w:szCs w:val="18"/>
          <w:lang w:val="en-GB"/>
        </w:rPr>
        <w:t>European Innovation Scoreboard”,  2022</w:t>
      </w:r>
    </w:p>
    <w:p w14:paraId="3004ADA1" w14:textId="77777777" w:rsidR="00977F4D" w:rsidRPr="008316ED" w:rsidRDefault="00977F4D" w:rsidP="00977F4D">
      <w:pPr>
        <w:numPr>
          <w:ilvl w:val="0"/>
          <w:numId w:val="11"/>
        </w:numPr>
        <w:tabs>
          <w:tab w:val="clear" w:pos="284"/>
        </w:tabs>
        <w:spacing w:before="120" w:line="220" w:lineRule="exact"/>
        <w:rPr>
          <w:rFonts w:eastAsia="Times" w:cs="Times"/>
          <w:noProof/>
          <w:sz w:val="18"/>
          <w:szCs w:val="18"/>
        </w:rPr>
      </w:pPr>
      <w:r w:rsidRPr="008316ED">
        <w:rPr>
          <w:rFonts w:eastAsia="Times" w:cs="Times"/>
          <w:noProof/>
          <w:sz w:val="18"/>
          <w:szCs w:val="18"/>
        </w:rPr>
        <w:t>ASVIS, “</w:t>
      </w:r>
      <w:r w:rsidRPr="008316ED">
        <w:rPr>
          <w:rFonts w:eastAsia="Times" w:cs="Times"/>
          <w:i/>
          <w:noProof/>
          <w:sz w:val="18"/>
          <w:szCs w:val="18"/>
        </w:rPr>
        <w:t>Rapporto ASVIS sullo sviluppo sostenibile”</w:t>
      </w:r>
      <w:r w:rsidRPr="008316ED">
        <w:rPr>
          <w:rFonts w:eastAsia="Times" w:cs="Times"/>
          <w:noProof/>
          <w:sz w:val="18"/>
          <w:szCs w:val="18"/>
        </w:rPr>
        <w:t>, 2022</w:t>
      </w:r>
    </w:p>
    <w:p w14:paraId="3E85C983" w14:textId="77777777" w:rsidR="00977F4D" w:rsidRPr="00C437DF" w:rsidRDefault="00977F4D" w:rsidP="00977F4D">
      <w:pPr>
        <w:numPr>
          <w:ilvl w:val="0"/>
          <w:numId w:val="11"/>
        </w:numPr>
        <w:tabs>
          <w:tab w:val="clear" w:pos="284"/>
        </w:tabs>
        <w:spacing w:before="120" w:line="220" w:lineRule="exact"/>
        <w:rPr>
          <w:rFonts w:eastAsia="Times" w:cs="Times"/>
          <w:noProof/>
          <w:sz w:val="18"/>
          <w:szCs w:val="18"/>
          <w:lang w:val="en-GB"/>
        </w:rPr>
      </w:pPr>
      <w:r w:rsidRPr="00C437DF">
        <w:rPr>
          <w:rFonts w:eastAsia="Times" w:cs="Times"/>
          <w:noProof/>
          <w:sz w:val="18"/>
          <w:szCs w:val="18"/>
          <w:lang w:val="en-GB"/>
        </w:rPr>
        <w:t>EIT Digital, “</w:t>
      </w:r>
      <w:r w:rsidRPr="00C437DF">
        <w:rPr>
          <w:rFonts w:eastAsia="Times" w:cs="Times"/>
          <w:i/>
          <w:noProof/>
          <w:sz w:val="18"/>
          <w:szCs w:val="18"/>
          <w:lang w:val="en-GB"/>
        </w:rPr>
        <w:t>Digital Transformazion of European Industry A policy perspective”</w:t>
      </w:r>
      <w:r w:rsidRPr="00C437DF">
        <w:rPr>
          <w:rFonts w:eastAsia="Times" w:cs="Times"/>
          <w:noProof/>
          <w:sz w:val="18"/>
          <w:szCs w:val="18"/>
          <w:lang w:val="en-GB"/>
        </w:rPr>
        <w:t>, Full Report, 2019</w:t>
      </w:r>
    </w:p>
    <w:p w14:paraId="2D908021" w14:textId="77777777" w:rsidR="00977F4D" w:rsidRPr="00C437DF" w:rsidRDefault="00977F4D" w:rsidP="00977F4D">
      <w:pPr>
        <w:tabs>
          <w:tab w:val="clear" w:pos="284"/>
        </w:tabs>
        <w:spacing w:line="220" w:lineRule="exact"/>
        <w:rPr>
          <w:noProof/>
          <w:sz w:val="18"/>
          <w:szCs w:val="18"/>
          <w:lang w:val="en-GB"/>
        </w:rPr>
      </w:pPr>
    </w:p>
    <w:p w14:paraId="1B904E27" w14:textId="77777777" w:rsidR="00977F4D" w:rsidRPr="00C437DF" w:rsidRDefault="00977F4D" w:rsidP="00977F4D">
      <w:pPr>
        <w:spacing w:before="120" w:line="220" w:lineRule="exact"/>
        <w:rPr>
          <w:b/>
          <w:i/>
          <w:sz w:val="18"/>
          <w:lang w:val="en-GB"/>
        </w:rPr>
      </w:pPr>
      <w:bookmarkStart w:id="3" w:name="_Hlk76557191"/>
      <w:r w:rsidRPr="00C437DF">
        <w:rPr>
          <w:b/>
          <w:i/>
          <w:sz w:val="18"/>
          <w:lang w:val="en-GB"/>
        </w:rPr>
        <w:t>TEACHING METHOD</w:t>
      </w:r>
      <w:bookmarkEnd w:id="3"/>
    </w:p>
    <w:p w14:paraId="0A12F1AF" w14:textId="77777777" w:rsidR="00977F4D" w:rsidRPr="00C437DF" w:rsidRDefault="00977F4D" w:rsidP="00977F4D">
      <w:pPr>
        <w:tabs>
          <w:tab w:val="clear" w:pos="284"/>
        </w:tabs>
        <w:spacing w:before="120" w:line="220" w:lineRule="exact"/>
        <w:rPr>
          <w:noProof/>
          <w:sz w:val="18"/>
          <w:lang w:val="en-GB"/>
        </w:rPr>
      </w:pPr>
      <w:r w:rsidRPr="00FF7351">
        <w:rPr>
          <w:noProof/>
          <w:sz w:val="18"/>
          <w:lang w:val="en-GB"/>
        </w:rPr>
        <w:t xml:space="preserve">Teaching is based on lectures, seminars and case studies. Student presentations on course topics and mid-term </w:t>
      </w:r>
      <w:r>
        <w:rPr>
          <w:noProof/>
          <w:sz w:val="18"/>
          <w:lang w:val="en-GB"/>
        </w:rPr>
        <w:t>assessment sessions</w:t>
      </w:r>
      <w:r w:rsidRPr="00FF7351">
        <w:rPr>
          <w:noProof/>
          <w:sz w:val="18"/>
          <w:lang w:val="en-GB"/>
        </w:rPr>
        <w:t xml:space="preserve"> will also be organised. Finally, some forms of policy design will also be implemented in the form of hackathons</w:t>
      </w:r>
      <w:r w:rsidRPr="00C437DF">
        <w:rPr>
          <w:noProof/>
          <w:sz w:val="18"/>
          <w:lang w:val="en-GB"/>
        </w:rPr>
        <w:t>.</w:t>
      </w:r>
    </w:p>
    <w:p w14:paraId="13CE6CF1" w14:textId="77777777" w:rsidR="00977F4D" w:rsidRPr="00C437DF" w:rsidRDefault="00977F4D" w:rsidP="00977F4D">
      <w:pPr>
        <w:spacing w:before="240" w:after="120" w:line="220" w:lineRule="exact"/>
        <w:rPr>
          <w:b/>
          <w:i/>
          <w:sz w:val="18"/>
          <w:lang w:val="en-GB"/>
        </w:rPr>
      </w:pPr>
      <w:bookmarkStart w:id="4" w:name="_Hlk76557213"/>
      <w:r w:rsidRPr="00C437DF">
        <w:rPr>
          <w:b/>
          <w:i/>
          <w:sz w:val="18"/>
          <w:lang w:val="en-GB"/>
        </w:rPr>
        <w:t>ASSESSMENT METHOD AND CRITERIA</w:t>
      </w:r>
      <w:bookmarkEnd w:id="4"/>
    </w:p>
    <w:p w14:paraId="71360D06" w14:textId="77777777" w:rsidR="00977F4D" w:rsidRPr="00C437DF" w:rsidRDefault="00977F4D" w:rsidP="00977F4D">
      <w:pPr>
        <w:tabs>
          <w:tab w:val="clear" w:pos="284"/>
        </w:tabs>
        <w:spacing w:line="220" w:lineRule="exact"/>
        <w:rPr>
          <w:noProof/>
          <w:sz w:val="18"/>
          <w:szCs w:val="18"/>
          <w:lang w:val="en-GB"/>
        </w:rPr>
      </w:pPr>
      <w:r w:rsidRPr="00FF7351">
        <w:rPr>
          <w:noProof/>
          <w:sz w:val="18"/>
          <w:szCs w:val="18"/>
          <w:lang w:val="en-GB"/>
        </w:rPr>
        <w:lastRenderedPageBreak/>
        <w:t xml:space="preserve">The </w:t>
      </w:r>
      <w:r>
        <w:rPr>
          <w:noProof/>
          <w:sz w:val="18"/>
          <w:szCs w:val="18"/>
          <w:lang w:val="en-GB"/>
        </w:rPr>
        <w:t>assessment</w:t>
      </w:r>
      <w:r w:rsidRPr="00FF7351">
        <w:rPr>
          <w:noProof/>
          <w:sz w:val="18"/>
          <w:szCs w:val="18"/>
          <w:lang w:val="en-GB"/>
        </w:rPr>
        <w:t xml:space="preserve"> </w:t>
      </w:r>
      <w:r>
        <w:rPr>
          <w:noProof/>
          <w:sz w:val="18"/>
          <w:szCs w:val="18"/>
          <w:lang w:val="en-GB"/>
        </w:rPr>
        <w:t xml:space="preserve">method varies between </w:t>
      </w:r>
      <w:r w:rsidRPr="00FF7351">
        <w:rPr>
          <w:noProof/>
          <w:sz w:val="18"/>
          <w:szCs w:val="18"/>
          <w:lang w:val="en-GB"/>
        </w:rPr>
        <w:t>attending students</w:t>
      </w:r>
      <w:r>
        <w:rPr>
          <w:noProof/>
          <w:sz w:val="18"/>
          <w:szCs w:val="18"/>
          <w:lang w:val="en-GB"/>
        </w:rPr>
        <w:t xml:space="preserve"> </w:t>
      </w:r>
      <w:r w:rsidRPr="00FF7351">
        <w:rPr>
          <w:noProof/>
          <w:sz w:val="18"/>
          <w:szCs w:val="18"/>
          <w:lang w:val="en-GB"/>
        </w:rPr>
        <w:t>who take two inter</w:t>
      </w:r>
      <w:r>
        <w:rPr>
          <w:noProof/>
          <w:sz w:val="18"/>
          <w:szCs w:val="18"/>
          <w:lang w:val="en-GB"/>
        </w:rPr>
        <w:t>im</w:t>
      </w:r>
      <w:r w:rsidRPr="00FF7351">
        <w:rPr>
          <w:noProof/>
          <w:sz w:val="18"/>
          <w:szCs w:val="18"/>
          <w:lang w:val="en-GB"/>
        </w:rPr>
        <w:t xml:space="preserve"> tests</w:t>
      </w:r>
      <w:r>
        <w:rPr>
          <w:noProof/>
          <w:sz w:val="18"/>
          <w:szCs w:val="18"/>
          <w:lang w:val="en-GB"/>
        </w:rPr>
        <w:t>,</w:t>
      </w:r>
      <w:r w:rsidRPr="00FF7351">
        <w:rPr>
          <w:noProof/>
          <w:sz w:val="18"/>
          <w:szCs w:val="18"/>
          <w:lang w:val="en-GB"/>
        </w:rPr>
        <w:t xml:space="preserve"> and non-attending students who take the exam in a single </w:t>
      </w:r>
      <w:r>
        <w:rPr>
          <w:noProof/>
          <w:sz w:val="18"/>
          <w:szCs w:val="18"/>
          <w:lang w:val="en-GB"/>
        </w:rPr>
        <w:t>session</w:t>
      </w:r>
      <w:r w:rsidRPr="00C437DF">
        <w:rPr>
          <w:noProof/>
          <w:sz w:val="18"/>
          <w:szCs w:val="18"/>
          <w:lang w:val="en-GB"/>
        </w:rPr>
        <w:t>.</w:t>
      </w:r>
    </w:p>
    <w:p w14:paraId="419E9737" w14:textId="77777777" w:rsidR="00977F4D" w:rsidRPr="00C437DF" w:rsidRDefault="00977F4D" w:rsidP="00977F4D">
      <w:pPr>
        <w:tabs>
          <w:tab w:val="clear" w:pos="284"/>
        </w:tabs>
        <w:spacing w:line="220" w:lineRule="exact"/>
        <w:rPr>
          <w:noProof/>
          <w:sz w:val="18"/>
          <w:lang w:val="en-GB"/>
        </w:rPr>
      </w:pPr>
      <w:r w:rsidRPr="003368D8">
        <w:rPr>
          <w:noProof/>
          <w:sz w:val="18"/>
          <w:lang w:val="en-GB"/>
        </w:rPr>
        <w:t>The first group of students will have to answer two questions in each of the inter</w:t>
      </w:r>
      <w:r>
        <w:rPr>
          <w:noProof/>
          <w:sz w:val="18"/>
          <w:lang w:val="en-GB"/>
        </w:rPr>
        <w:t>im</w:t>
      </w:r>
      <w:r w:rsidRPr="003368D8">
        <w:rPr>
          <w:noProof/>
          <w:sz w:val="18"/>
          <w:lang w:val="en-GB"/>
        </w:rPr>
        <w:t xml:space="preserve"> tests (to be chosen between two alternatives for each question). </w:t>
      </w:r>
      <w:r>
        <w:rPr>
          <w:noProof/>
          <w:sz w:val="18"/>
          <w:lang w:val="en-GB"/>
        </w:rPr>
        <w:t>T</w:t>
      </w:r>
      <w:r w:rsidRPr="003368D8">
        <w:rPr>
          <w:noProof/>
          <w:sz w:val="18"/>
          <w:lang w:val="en-GB"/>
        </w:rPr>
        <w:t>he first inter</w:t>
      </w:r>
      <w:r>
        <w:rPr>
          <w:noProof/>
          <w:sz w:val="18"/>
          <w:lang w:val="en-GB"/>
        </w:rPr>
        <w:t>im</w:t>
      </w:r>
      <w:r w:rsidRPr="003368D8">
        <w:rPr>
          <w:noProof/>
          <w:sz w:val="18"/>
          <w:lang w:val="en-GB"/>
        </w:rPr>
        <w:t xml:space="preserve"> test</w:t>
      </w:r>
      <w:r>
        <w:rPr>
          <w:noProof/>
          <w:sz w:val="18"/>
          <w:lang w:val="en-GB"/>
        </w:rPr>
        <w:t xml:space="preserve"> will include</w:t>
      </w:r>
      <w:r w:rsidRPr="003368D8">
        <w:rPr>
          <w:noProof/>
          <w:sz w:val="18"/>
          <w:lang w:val="en-GB"/>
        </w:rPr>
        <w:t xml:space="preserve"> questions on the first module (two for each part</w:t>
      </w:r>
      <w:r>
        <w:rPr>
          <w:noProof/>
          <w:sz w:val="18"/>
          <w:lang w:val="en-GB"/>
        </w:rPr>
        <w:t>,</w:t>
      </w:r>
      <w:r w:rsidRPr="003368D8">
        <w:rPr>
          <w:noProof/>
          <w:sz w:val="18"/>
          <w:lang w:val="en-GB"/>
        </w:rPr>
        <w:t xml:space="preserve"> from which</w:t>
      </w:r>
      <w:r>
        <w:rPr>
          <w:noProof/>
          <w:sz w:val="18"/>
          <w:lang w:val="en-GB"/>
        </w:rPr>
        <w:t xml:space="preserve"> students will have</w:t>
      </w:r>
      <w:r w:rsidRPr="003368D8">
        <w:rPr>
          <w:noProof/>
          <w:sz w:val="18"/>
          <w:lang w:val="en-GB"/>
        </w:rPr>
        <w:t xml:space="preserve"> to choose two questions) and the second part</w:t>
      </w:r>
      <w:r>
        <w:rPr>
          <w:noProof/>
          <w:sz w:val="18"/>
          <w:lang w:val="en-GB"/>
        </w:rPr>
        <w:t xml:space="preserve"> will include </w:t>
      </w:r>
      <w:r w:rsidRPr="003368D8">
        <w:rPr>
          <w:noProof/>
          <w:sz w:val="18"/>
          <w:lang w:val="en-GB"/>
        </w:rPr>
        <w:t>questions on the second module (two on innovation support policies and two on digit</w:t>
      </w:r>
      <w:r>
        <w:rPr>
          <w:noProof/>
          <w:sz w:val="18"/>
          <w:lang w:val="en-GB"/>
        </w:rPr>
        <w:t>alis</w:t>
      </w:r>
      <w:r w:rsidRPr="003368D8">
        <w:rPr>
          <w:noProof/>
          <w:sz w:val="18"/>
          <w:lang w:val="en-GB"/>
        </w:rPr>
        <w:t xml:space="preserve">ation policies). The time </w:t>
      </w:r>
      <w:r>
        <w:rPr>
          <w:noProof/>
          <w:sz w:val="18"/>
          <w:lang w:val="en-GB"/>
        </w:rPr>
        <w:t xml:space="preserve">allowed </w:t>
      </w:r>
      <w:r w:rsidRPr="003368D8">
        <w:rPr>
          <w:noProof/>
          <w:sz w:val="18"/>
          <w:lang w:val="en-GB"/>
        </w:rPr>
        <w:t>for each inter</w:t>
      </w:r>
      <w:r>
        <w:rPr>
          <w:noProof/>
          <w:sz w:val="18"/>
          <w:lang w:val="en-GB"/>
        </w:rPr>
        <w:t>im</w:t>
      </w:r>
      <w:r w:rsidRPr="003368D8">
        <w:rPr>
          <w:noProof/>
          <w:sz w:val="18"/>
          <w:lang w:val="en-GB"/>
        </w:rPr>
        <w:t xml:space="preserve"> test is 90'.</w:t>
      </w:r>
    </w:p>
    <w:p w14:paraId="7C1BF284" w14:textId="77777777" w:rsidR="00977F4D" w:rsidRPr="00C437DF" w:rsidRDefault="00977F4D" w:rsidP="00977F4D">
      <w:pPr>
        <w:tabs>
          <w:tab w:val="clear" w:pos="284"/>
        </w:tabs>
        <w:spacing w:line="220" w:lineRule="exact"/>
        <w:rPr>
          <w:noProof/>
          <w:sz w:val="18"/>
          <w:lang w:val="en-GB"/>
        </w:rPr>
      </w:pPr>
      <w:r w:rsidRPr="003368D8">
        <w:rPr>
          <w:noProof/>
          <w:sz w:val="18"/>
          <w:lang w:val="en-GB"/>
        </w:rPr>
        <w:t xml:space="preserve">Attending students will be able to participate in the Next Generation EU </w:t>
      </w:r>
      <w:r>
        <w:rPr>
          <w:noProof/>
          <w:sz w:val="18"/>
          <w:lang w:val="en-GB"/>
        </w:rPr>
        <w:t>Workshop</w:t>
      </w:r>
      <w:r w:rsidRPr="003368D8">
        <w:rPr>
          <w:noProof/>
          <w:sz w:val="18"/>
          <w:lang w:val="en-GB"/>
        </w:rPr>
        <w:t xml:space="preserve"> which involves the creation of: a</w:t>
      </w:r>
      <w:r>
        <w:rPr>
          <w:noProof/>
          <w:sz w:val="18"/>
          <w:lang w:val="en-GB"/>
        </w:rPr>
        <w:t>n</w:t>
      </w:r>
      <w:r w:rsidRPr="003368D8">
        <w:rPr>
          <w:noProof/>
          <w:sz w:val="18"/>
          <w:lang w:val="en-GB"/>
        </w:rPr>
        <w:t xml:space="preserve"> assessment </w:t>
      </w:r>
      <w:r>
        <w:rPr>
          <w:noProof/>
          <w:sz w:val="18"/>
          <w:lang w:val="en-GB"/>
        </w:rPr>
        <w:t xml:space="preserve">in the </w:t>
      </w:r>
      <w:r w:rsidRPr="003368D8">
        <w:rPr>
          <w:noProof/>
          <w:sz w:val="18"/>
          <w:lang w:val="en-GB"/>
        </w:rPr>
        <w:t xml:space="preserve">first semester </w:t>
      </w:r>
      <w:r>
        <w:rPr>
          <w:noProof/>
          <w:sz w:val="18"/>
          <w:lang w:val="en-GB"/>
        </w:rPr>
        <w:t>related to an</w:t>
      </w:r>
      <w:r w:rsidRPr="003368D8">
        <w:rPr>
          <w:noProof/>
          <w:sz w:val="18"/>
          <w:lang w:val="en-GB"/>
        </w:rPr>
        <w:t xml:space="preserve"> in-depth analysis of a policy or a</w:t>
      </w:r>
      <w:r>
        <w:rPr>
          <w:noProof/>
          <w:sz w:val="18"/>
          <w:lang w:val="en-GB"/>
        </w:rPr>
        <w:t>n</w:t>
      </w:r>
      <w:r w:rsidRPr="003368D8">
        <w:rPr>
          <w:noProof/>
          <w:sz w:val="18"/>
          <w:lang w:val="en-GB"/>
        </w:rPr>
        <w:t xml:space="preserve"> intervention program</w:t>
      </w:r>
      <w:r>
        <w:rPr>
          <w:noProof/>
          <w:sz w:val="18"/>
          <w:lang w:val="en-GB"/>
        </w:rPr>
        <w:t xml:space="preserve">me, </w:t>
      </w:r>
      <w:r w:rsidRPr="003368D8">
        <w:rPr>
          <w:noProof/>
          <w:sz w:val="18"/>
          <w:lang w:val="en-GB"/>
        </w:rPr>
        <w:t xml:space="preserve">and an exercise in the second semester </w:t>
      </w:r>
      <w:r>
        <w:rPr>
          <w:noProof/>
          <w:sz w:val="18"/>
          <w:lang w:val="en-GB"/>
        </w:rPr>
        <w:t xml:space="preserve">consisting of the proposal of </w:t>
      </w:r>
      <w:r w:rsidRPr="003368D8">
        <w:rPr>
          <w:noProof/>
          <w:sz w:val="18"/>
          <w:lang w:val="en-GB"/>
        </w:rPr>
        <w:t>polic</w:t>
      </w:r>
      <w:r>
        <w:rPr>
          <w:noProof/>
          <w:sz w:val="18"/>
          <w:lang w:val="en-GB"/>
        </w:rPr>
        <w:t>y</w:t>
      </w:r>
      <w:r w:rsidRPr="003368D8">
        <w:rPr>
          <w:noProof/>
          <w:sz w:val="18"/>
          <w:lang w:val="en-GB"/>
        </w:rPr>
        <w:t xml:space="preserve"> corrections or </w:t>
      </w:r>
      <w:r>
        <w:rPr>
          <w:noProof/>
          <w:sz w:val="18"/>
          <w:lang w:val="en-GB"/>
        </w:rPr>
        <w:t xml:space="preserve">of the promotion of </w:t>
      </w:r>
      <w:r w:rsidRPr="003368D8">
        <w:rPr>
          <w:noProof/>
          <w:sz w:val="18"/>
          <w:lang w:val="en-GB"/>
        </w:rPr>
        <w:t>investment program</w:t>
      </w:r>
      <w:r>
        <w:rPr>
          <w:noProof/>
          <w:sz w:val="18"/>
          <w:lang w:val="en-GB"/>
        </w:rPr>
        <w:t>me</w:t>
      </w:r>
      <w:r w:rsidRPr="003368D8">
        <w:rPr>
          <w:noProof/>
          <w:sz w:val="18"/>
          <w:lang w:val="en-GB"/>
        </w:rPr>
        <w:t>s, consistent with the guidelines of the Next Generation EU.</w:t>
      </w:r>
      <w:r>
        <w:rPr>
          <w:noProof/>
          <w:sz w:val="18"/>
          <w:lang w:val="en-GB"/>
        </w:rPr>
        <w:t xml:space="preserve"> </w:t>
      </w:r>
      <w:r w:rsidRPr="002A1942">
        <w:rPr>
          <w:noProof/>
          <w:sz w:val="18"/>
          <w:lang w:val="en-GB"/>
        </w:rPr>
        <w:t>The works will be presented in d</w:t>
      </w:r>
      <w:r>
        <w:rPr>
          <w:noProof/>
          <w:sz w:val="18"/>
          <w:lang w:val="en-GB"/>
        </w:rPr>
        <w:t xml:space="preserve">ebate </w:t>
      </w:r>
      <w:r w:rsidRPr="002A1942">
        <w:rPr>
          <w:noProof/>
          <w:sz w:val="18"/>
          <w:lang w:val="en-GB"/>
        </w:rPr>
        <w:t xml:space="preserve">sessions and will be the subject of a Hackathon </w:t>
      </w:r>
      <w:r>
        <w:rPr>
          <w:noProof/>
          <w:sz w:val="18"/>
          <w:lang w:val="en-GB"/>
        </w:rPr>
        <w:t xml:space="preserve">designed </w:t>
      </w:r>
      <w:r w:rsidRPr="002A1942">
        <w:rPr>
          <w:noProof/>
          <w:sz w:val="18"/>
          <w:lang w:val="en-GB"/>
        </w:rPr>
        <w:t>for discussion</w:t>
      </w:r>
      <w:r>
        <w:rPr>
          <w:noProof/>
          <w:sz w:val="18"/>
          <w:lang w:val="en-GB"/>
        </w:rPr>
        <w:t>s</w:t>
      </w:r>
      <w:r w:rsidRPr="002A1942">
        <w:rPr>
          <w:noProof/>
          <w:sz w:val="18"/>
          <w:lang w:val="en-GB"/>
        </w:rPr>
        <w:t xml:space="preserve"> with experts and professionals</w:t>
      </w:r>
      <w:r w:rsidRPr="00C437DF">
        <w:rPr>
          <w:noProof/>
          <w:sz w:val="18"/>
          <w:lang w:val="en-GB"/>
        </w:rPr>
        <w:t xml:space="preserve">. </w:t>
      </w:r>
    </w:p>
    <w:p w14:paraId="5733B47A" w14:textId="77777777" w:rsidR="00977F4D" w:rsidRPr="00C437DF" w:rsidRDefault="00977F4D" w:rsidP="00977F4D">
      <w:pPr>
        <w:tabs>
          <w:tab w:val="clear" w:pos="284"/>
        </w:tabs>
        <w:spacing w:line="220" w:lineRule="exact"/>
        <w:rPr>
          <w:noProof/>
          <w:sz w:val="18"/>
          <w:lang w:val="en-GB"/>
        </w:rPr>
      </w:pPr>
      <w:r>
        <w:rPr>
          <w:noProof/>
          <w:sz w:val="18"/>
          <w:lang w:val="en-GB"/>
        </w:rPr>
        <w:t>T</w:t>
      </w:r>
      <w:r w:rsidRPr="002A1942">
        <w:rPr>
          <w:noProof/>
          <w:sz w:val="18"/>
          <w:lang w:val="en-GB"/>
        </w:rPr>
        <w:t xml:space="preserve">he overall mark </w:t>
      </w:r>
      <w:r>
        <w:rPr>
          <w:noProof/>
          <w:sz w:val="18"/>
          <w:lang w:val="en-GB"/>
        </w:rPr>
        <w:t>f</w:t>
      </w:r>
      <w:r w:rsidRPr="002A1942">
        <w:rPr>
          <w:noProof/>
          <w:sz w:val="18"/>
          <w:lang w:val="en-GB"/>
        </w:rPr>
        <w:t>or attending students will be</w:t>
      </w:r>
      <w:r w:rsidRPr="00C437DF">
        <w:rPr>
          <w:noProof/>
          <w:sz w:val="18"/>
          <w:lang w:val="en-GB"/>
        </w:rPr>
        <w:t>:</w:t>
      </w:r>
    </w:p>
    <w:p w14:paraId="759F9657" w14:textId="77777777" w:rsidR="00977F4D" w:rsidRPr="00C437DF" w:rsidRDefault="00977F4D" w:rsidP="00977F4D">
      <w:pPr>
        <w:pStyle w:val="Paragrafoelenco"/>
        <w:numPr>
          <w:ilvl w:val="0"/>
          <w:numId w:val="5"/>
        </w:numPr>
        <w:tabs>
          <w:tab w:val="clear" w:pos="284"/>
        </w:tabs>
        <w:spacing w:line="220" w:lineRule="exact"/>
        <w:rPr>
          <w:noProof/>
          <w:sz w:val="18"/>
          <w:lang w:val="en-GB"/>
        </w:rPr>
      </w:pPr>
      <w:r>
        <w:rPr>
          <w:noProof/>
          <w:sz w:val="18"/>
          <w:lang w:val="en-GB"/>
        </w:rPr>
        <w:t>Mark</w:t>
      </w:r>
      <w:r w:rsidRPr="00C437DF">
        <w:rPr>
          <w:noProof/>
          <w:sz w:val="18"/>
          <w:lang w:val="en-GB"/>
        </w:rPr>
        <w:t xml:space="preserve"> </w:t>
      </w:r>
      <w:r>
        <w:rPr>
          <w:noProof/>
          <w:sz w:val="18"/>
          <w:lang w:val="en-GB"/>
        </w:rPr>
        <w:t xml:space="preserve">for the interim tests </w:t>
      </w:r>
      <w:r w:rsidRPr="00C437DF">
        <w:rPr>
          <w:noProof/>
          <w:sz w:val="18"/>
          <w:lang w:val="en-GB"/>
        </w:rPr>
        <w:t>(60%);</w:t>
      </w:r>
    </w:p>
    <w:p w14:paraId="065788A3" w14:textId="77777777" w:rsidR="00977F4D" w:rsidRPr="00C437DF" w:rsidRDefault="00977F4D" w:rsidP="00977F4D">
      <w:pPr>
        <w:pStyle w:val="Paragrafoelenco"/>
        <w:numPr>
          <w:ilvl w:val="0"/>
          <w:numId w:val="5"/>
        </w:numPr>
        <w:tabs>
          <w:tab w:val="clear" w:pos="284"/>
        </w:tabs>
        <w:spacing w:line="220" w:lineRule="exact"/>
        <w:rPr>
          <w:noProof/>
          <w:sz w:val="18"/>
          <w:lang w:val="en-GB"/>
        </w:rPr>
      </w:pPr>
      <w:r>
        <w:rPr>
          <w:noProof/>
          <w:sz w:val="18"/>
          <w:lang w:val="en-GB"/>
        </w:rPr>
        <w:t xml:space="preserve">Mark for the </w:t>
      </w:r>
      <w:r w:rsidRPr="002A1942">
        <w:rPr>
          <w:noProof/>
          <w:sz w:val="18"/>
          <w:lang w:val="en-GB"/>
        </w:rPr>
        <w:t xml:space="preserve">assessment of the first semester </w:t>
      </w:r>
      <w:r w:rsidRPr="00C437DF">
        <w:rPr>
          <w:noProof/>
          <w:sz w:val="18"/>
          <w:lang w:val="en-GB"/>
        </w:rPr>
        <w:t>(15%)</w:t>
      </w:r>
    </w:p>
    <w:p w14:paraId="67218099" w14:textId="77777777" w:rsidR="00977F4D" w:rsidRPr="00C437DF" w:rsidRDefault="00977F4D" w:rsidP="00977F4D">
      <w:pPr>
        <w:pStyle w:val="Paragrafoelenco"/>
        <w:numPr>
          <w:ilvl w:val="0"/>
          <w:numId w:val="5"/>
        </w:numPr>
        <w:tabs>
          <w:tab w:val="clear" w:pos="284"/>
        </w:tabs>
        <w:spacing w:line="220" w:lineRule="exact"/>
        <w:rPr>
          <w:noProof/>
          <w:sz w:val="18"/>
          <w:lang w:val="en-GB"/>
        </w:rPr>
      </w:pPr>
      <w:r>
        <w:rPr>
          <w:noProof/>
          <w:sz w:val="18"/>
          <w:lang w:val="en-GB"/>
        </w:rPr>
        <w:t xml:space="preserve">Mark for the </w:t>
      </w:r>
      <w:r w:rsidRPr="00C437DF">
        <w:rPr>
          <w:noProof/>
          <w:sz w:val="18"/>
          <w:lang w:val="en-GB"/>
        </w:rPr>
        <w:t xml:space="preserve">Hackathon </w:t>
      </w:r>
      <w:r>
        <w:rPr>
          <w:noProof/>
          <w:sz w:val="18"/>
          <w:lang w:val="en-GB"/>
        </w:rPr>
        <w:t xml:space="preserve">work </w:t>
      </w:r>
      <w:r w:rsidRPr="00C437DF">
        <w:rPr>
          <w:noProof/>
          <w:sz w:val="18"/>
          <w:lang w:val="en-GB"/>
        </w:rPr>
        <w:t>(25%)</w:t>
      </w:r>
    </w:p>
    <w:p w14:paraId="0B4F4DF1" w14:textId="77777777" w:rsidR="00977F4D" w:rsidRPr="00C437DF" w:rsidRDefault="00977F4D" w:rsidP="00977F4D">
      <w:pPr>
        <w:tabs>
          <w:tab w:val="clear" w:pos="284"/>
        </w:tabs>
        <w:spacing w:line="220" w:lineRule="exact"/>
        <w:rPr>
          <w:noProof/>
          <w:sz w:val="18"/>
          <w:lang w:val="en-GB"/>
        </w:rPr>
      </w:pPr>
    </w:p>
    <w:p w14:paraId="7C6DE0A7" w14:textId="77777777" w:rsidR="00977F4D" w:rsidRPr="00C437DF" w:rsidRDefault="00977F4D" w:rsidP="00977F4D">
      <w:pPr>
        <w:tabs>
          <w:tab w:val="clear" w:pos="284"/>
        </w:tabs>
        <w:spacing w:line="220" w:lineRule="exact"/>
        <w:rPr>
          <w:noProof/>
          <w:sz w:val="18"/>
          <w:szCs w:val="18"/>
          <w:lang w:val="en-GB"/>
        </w:rPr>
      </w:pPr>
      <w:r w:rsidRPr="002A1942">
        <w:rPr>
          <w:noProof/>
          <w:sz w:val="18"/>
          <w:szCs w:val="18"/>
          <w:lang w:val="en-GB"/>
        </w:rPr>
        <w:t>Non-attending students will have to answer five questions out of eight alternatives proposed during the final exam (time allowed 2h30').</w:t>
      </w:r>
      <w:r>
        <w:rPr>
          <w:noProof/>
          <w:sz w:val="18"/>
          <w:szCs w:val="18"/>
          <w:lang w:val="en-GB"/>
        </w:rPr>
        <w:t xml:space="preserve">   </w:t>
      </w:r>
    </w:p>
    <w:p w14:paraId="1E505929" w14:textId="77777777" w:rsidR="00977F4D" w:rsidRPr="00C437DF" w:rsidRDefault="00977F4D" w:rsidP="00977F4D">
      <w:pPr>
        <w:tabs>
          <w:tab w:val="clear" w:pos="284"/>
        </w:tabs>
        <w:spacing w:line="220" w:lineRule="exact"/>
        <w:rPr>
          <w:b/>
          <w:i/>
          <w:noProof/>
          <w:sz w:val="18"/>
          <w:lang w:val="en-GB"/>
        </w:rPr>
      </w:pPr>
    </w:p>
    <w:p w14:paraId="0B79425B" w14:textId="77777777" w:rsidR="00977F4D" w:rsidRPr="00C437DF" w:rsidRDefault="00977F4D" w:rsidP="00977F4D">
      <w:pPr>
        <w:tabs>
          <w:tab w:val="clear" w:pos="284"/>
        </w:tabs>
        <w:spacing w:line="220" w:lineRule="exact"/>
        <w:rPr>
          <w:noProof/>
          <w:sz w:val="18"/>
          <w:lang w:val="en-GB"/>
        </w:rPr>
      </w:pPr>
      <w:bookmarkStart w:id="5" w:name="_Hlk76557228"/>
      <w:r w:rsidRPr="00C437DF">
        <w:rPr>
          <w:b/>
          <w:i/>
          <w:sz w:val="18"/>
          <w:lang w:val="en-GB"/>
        </w:rPr>
        <w:t>NOTES AND PREREQUISITES</w:t>
      </w:r>
      <w:bookmarkEnd w:id="5"/>
    </w:p>
    <w:p w14:paraId="45F342F9" w14:textId="77777777" w:rsidR="00977F4D" w:rsidRPr="00C437DF" w:rsidRDefault="00977F4D" w:rsidP="00977F4D">
      <w:pPr>
        <w:tabs>
          <w:tab w:val="clear" w:pos="284"/>
        </w:tabs>
        <w:spacing w:line="220" w:lineRule="exact"/>
        <w:rPr>
          <w:noProof/>
          <w:sz w:val="18"/>
          <w:lang w:val="en-GB"/>
        </w:rPr>
      </w:pPr>
    </w:p>
    <w:p w14:paraId="205D20DA" w14:textId="77777777" w:rsidR="00977F4D" w:rsidRPr="00C437DF" w:rsidRDefault="00977F4D" w:rsidP="00977F4D">
      <w:pPr>
        <w:tabs>
          <w:tab w:val="clear" w:pos="284"/>
        </w:tabs>
        <w:spacing w:line="220" w:lineRule="exact"/>
        <w:rPr>
          <w:noProof/>
          <w:sz w:val="18"/>
          <w:lang w:val="en-GB"/>
        </w:rPr>
      </w:pPr>
      <w:r>
        <w:rPr>
          <w:noProof/>
          <w:sz w:val="18"/>
          <w:lang w:val="en-GB"/>
        </w:rPr>
        <w:t>P</w:t>
      </w:r>
      <w:r w:rsidRPr="00FF7351">
        <w:rPr>
          <w:noProof/>
          <w:sz w:val="18"/>
          <w:lang w:val="en-GB"/>
        </w:rPr>
        <w:t xml:space="preserve">rerequisite </w:t>
      </w:r>
      <w:r>
        <w:rPr>
          <w:noProof/>
          <w:sz w:val="18"/>
          <w:lang w:val="en-GB"/>
        </w:rPr>
        <w:t xml:space="preserve">for the exam is </w:t>
      </w:r>
      <w:r w:rsidRPr="00FF7351">
        <w:rPr>
          <w:noProof/>
          <w:sz w:val="18"/>
          <w:lang w:val="en-GB"/>
        </w:rPr>
        <w:t>the knowledge of the basics of microeconomics and macroeconomics</w:t>
      </w:r>
      <w:r w:rsidRPr="00C437DF">
        <w:rPr>
          <w:noProof/>
          <w:sz w:val="18"/>
          <w:lang w:val="en-GB"/>
        </w:rPr>
        <w:t>.</w:t>
      </w:r>
      <w:bookmarkStart w:id="6" w:name="_Hlk76559061"/>
      <w:bookmarkStart w:id="7" w:name="_Hlk76565747"/>
      <w:bookmarkStart w:id="8" w:name="_Hlk76556740"/>
    </w:p>
    <w:p w14:paraId="2FC20F3B" w14:textId="77777777" w:rsidR="00977F4D" w:rsidRPr="00C437DF" w:rsidRDefault="00977F4D" w:rsidP="00977F4D">
      <w:pPr>
        <w:tabs>
          <w:tab w:val="clear" w:pos="284"/>
        </w:tabs>
        <w:spacing w:line="220" w:lineRule="exact"/>
        <w:rPr>
          <w:noProof/>
          <w:sz w:val="18"/>
          <w:lang w:val="en-GB"/>
        </w:rPr>
      </w:pPr>
    </w:p>
    <w:p w14:paraId="42CF2193" w14:textId="77777777" w:rsidR="00977F4D" w:rsidRPr="00C437DF" w:rsidRDefault="00977F4D" w:rsidP="00977F4D">
      <w:pPr>
        <w:tabs>
          <w:tab w:val="clear" w:pos="284"/>
        </w:tabs>
        <w:spacing w:line="220" w:lineRule="exact"/>
        <w:rPr>
          <w:noProof/>
          <w:sz w:val="18"/>
          <w:lang w:val="en-GB"/>
        </w:rPr>
      </w:pPr>
      <w:r w:rsidRPr="00C437DF">
        <w:rPr>
          <w:noProof/>
          <w:sz w:val="18"/>
          <w:lang w:val="en-GB"/>
        </w:rPr>
        <w:t xml:space="preserve">Information on office hours available on the teacher's personal page at </w:t>
      </w:r>
      <w:hyperlink r:id="rId14" w:history="1">
        <w:r w:rsidRPr="00C437DF">
          <w:rPr>
            <w:noProof/>
            <w:sz w:val="18"/>
            <w:lang w:val="en-GB"/>
          </w:rPr>
          <w:t>http://docenti.unicatt.it/</w:t>
        </w:r>
      </w:hyperlink>
      <w:bookmarkEnd w:id="6"/>
      <w:r w:rsidRPr="00C437DF">
        <w:rPr>
          <w:noProof/>
          <w:sz w:val="18"/>
          <w:lang w:val="en-GB"/>
        </w:rPr>
        <w:t>.</w:t>
      </w:r>
      <w:bookmarkEnd w:id="7"/>
    </w:p>
    <w:bookmarkEnd w:id="8"/>
    <w:p w14:paraId="75429DFF" w14:textId="1DB0F749" w:rsidR="009B0237" w:rsidRPr="00977F4D" w:rsidRDefault="009B0237" w:rsidP="003F32D8">
      <w:pPr>
        <w:pStyle w:val="Testo2"/>
        <w:rPr>
          <w:lang w:val="en-GB"/>
        </w:rPr>
      </w:pPr>
    </w:p>
    <w:sectPr w:rsidR="009B0237" w:rsidRPr="00977F4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FACA" w14:textId="77777777" w:rsidR="00B92C01" w:rsidRDefault="00B92C01" w:rsidP="00CD3A0E">
      <w:pPr>
        <w:spacing w:line="240" w:lineRule="auto"/>
      </w:pPr>
      <w:r>
        <w:separator/>
      </w:r>
    </w:p>
  </w:endnote>
  <w:endnote w:type="continuationSeparator" w:id="0">
    <w:p w14:paraId="6B956D34" w14:textId="77777777" w:rsidR="00B92C01" w:rsidRDefault="00B92C01" w:rsidP="00CD3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B495" w14:textId="77777777" w:rsidR="00B92C01" w:rsidRDefault="00B92C01" w:rsidP="00CD3A0E">
      <w:pPr>
        <w:spacing w:line="240" w:lineRule="auto"/>
      </w:pPr>
      <w:r>
        <w:separator/>
      </w:r>
    </w:p>
  </w:footnote>
  <w:footnote w:type="continuationSeparator" w:id="0">
    <w:p w14:paraId="70CE6567" w14:textId="77777777" w:rsidR="00B92C01" w:rsidRDefault="00B92C01" w:rsidP="00CD3A0E">
      <w:pPr>
        <w:spacing w:line="240" w:lineRule="auto"/>
      </w:pPr>
      <w:r>
        <w:continuationSeparator/>
      </w:r>
    </w:p>
  </w:footnote>
  <w:footnote w:id="1">
    <w:p w14:paraId="1F47E7C2" w14:textId="77777777" w:rsidR="00977F4D" w:rsidRPr="008316ED" w:rsidRDefault="00977F4D" w:rsidP="00977F4D">
      <w:pPr>
        <w:pStyle w:val="Testonotaapidipagina"/>
        <w:rPr>
          <w:lang w:val="en-US"/>
        </w:rPr>
      </w:pPr>
      <w:r>
        <w:rPr>
          <w:rStyle w:val="Rimandonotaapidipagina"/>
        </w:rPr>
        <w:footnoteRef/>
      </w:r>
      <w:r w:rsidRPr="008316ED">
        <w:rPr>
          <w:lang w:val="en-US"/>
        </w:rPr>
        <w:t xml:space="preserve"> </w:t>
      </w:r>
      <w:r w:rsidRPr="008316ED">
        <w:rPr>
          <w:rFonts w:ascii="Times New Roman" w:hAnsi="Times New Roman"/>
          <w:sz w:val="16"/>
          <w:szCs w:val="16"/>
          <w:lang w:val="en-US"/>
        </w:rPr>
        <w:t>The textbooks indicated in the reading list can be purchased at the University bookshops; they can also be bought from other retailers.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DD5"/>
    <w:multiLevelType w:val="hybridMultilevel"/>
    <w:tmpl w:val="09A8D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60072A"/>
    <w:multiLevelType w:val="hybridMultilevel"/>
    <w:tmpl w:val="18583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FC7B71"/>
    <w:multiLevelType w:val="hybridMultilevel"/>
    <w:tmpl w:val="CA3A9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3A49AA"/>
    <w:multiLevelType w:val="hybridMultilevel"/>
    <w:tmpl w:val="784A44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B7050"/>
    <w:multiLevelType w:val="hybridMultilevel"/>
    <w:tmpl w:val="0BC031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A63A8"/>
    <w:multiLevelType w:val="hybridMultilevel"/>
    <w:tmpl w:val="E1FAB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753BAA"/>
    <w:multiLevelType w:val="hybridMultilevel"/>
    <w:tmpl w:val="A64C1FD8"/>
    <w:lvl w:ilvl="0" w:tplc="FD22A9DE">
      <w:numFmt w:val="none"/>
      <w:lvlText w:val=""/>
      <w:lvlJc w:val="left"/>
      <w:pPr>
        <w:tabs>
          <w:tab w:val="num" w:pos="360"/>
        </w:tabs>
      </w:pPr>
    </w:lvl>
    <w:lvl w:ilvl="1" w:tplc="327E58EA">
      <w:start w:val="1"/>
      <w:numFmt w:val="lowerLetter"/>
      <w:lvlText w:val="%2."/>
      <w:lvlJc w:val="left"/>
      <w:pPr>
        <w:ind w:left="1440" w:hanging="360"/>
      </w:pPr>
    </w:lvl>
    <w:lvl w:ilvl="2" w:tplc="A4FE392C">
      <w:start w:val="1"/>
      <w:numFmt w:val="lowerRoman"/>
      <w:lvlText w:val="%3."/>
      <w:lvlJc w:val="right"/>
      <w:pPr>
        <w:ind w:left="2160" w:hanging="180"/>
      </w:pPr>
    </w:lvl>
    <w:lvl w:ilvl="3" w:tplc="BE9050BC">
      <w:start w:val="1"/>
      <w:numFmt w:val="decimal"/>
      <w:lvlText w:val="%4."/>
      <w:lvlJc w:val="left"/>
      <w:pPr>
        <w:ind w:left="2880" w:hanging="360"/>
      </w:pPr>
    </w:lvl>
    <w:lvl w:ilvl="4" w:tplc="96C0AF52">
      <w:start w:val="1"/>
      <w:numFmt w:val="lowerLetter"/>
      <w:lvlText w:val="%5."/>
      <w:lvlJc w:val="left"/>
      <w:pPr>
        <w:ind w:left="3600" w:hanging="360"/>
      </w:pPr>
    </w:lvl>
    <w:lvl w:ilvl="5" w:tplc="5464E0CE">
      <w:start w:val="1"/>
      <w:numFmt w:val="lowerRoman"/>
      <w:lvlText w:val="%6."/>
      <w:lvlJc w:val="right"/>
      <w:pPr>
        <w:ind w:left="4320" w:hanging="180"/>
      </w:pPr>
    </w:lvl>
    <w:lvl w:ilvl="6" w:tplc="CE4AA3CC">
      <w:start w:val="1"/>
      <w:numFmt w:val="decimal"/>
      <w:lvlText w:val="%7."/>
      <w:lvlJc w:val="left"/>
      <w:pPr>
        <w:ind w:left="5040" w:hanging="360"/>
      </w:pPr>
    </w:lvl>
    <w:lvl w:ilvl="7" w:tplc="72D02F82">
      <w:start w:val="1"/>
      <w:numFmt w:val="lowerLetter"/>
      <w:lvlText w:val="%8."/>
      <w:lvlJc w:val="left"/>
      <w:pPr>
        <w:ind w:left="5760" w:hanging="360"/>
      </w:pPr>
    </w:lvl>
    <w:lvl w:ilvl="8" w:tplc="0C5EF6A8">
      <w:start w:val="1"/>
      <w:numFmt w:val="lowerRoman"/>
      <w:lvlText w:val="%9."/>
      <w:lvlJc w:val="right"/>
      <w:pPr>
        <w:ind w:left="6480" w:hanging="180"/>
      </w:pPr>
    </w:lvl>
  </w:abstractNum>
  <w:abstractNum w:abstractNumId="7" w15:restartNumberingAfterBreak="0">
    <w:nsid w:val="3CEC5A15"/>
    <w:multiLevelType w:val="hybridMultilevel"/>
    <w:tmpl w:val="2CE4A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240A21"/>
    <w:multiLevelType w:val="hybridMultilevel"/>
    <w:tmpl w:val="765E589A"/>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733372C"/>
    <w:multiLevelType w:val="hybridMultilevel"/>
    <w:tmpl w:val="7D98AB1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2750E"/>
    <w:multiLevelType w:val="multilevel"/>
    <w:tmpl w:val="CA2C767E"/>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11" w15:restartNumberingAfterBreak="0">
    <w:nsid w:val="4D9929CA"/>
    <w:multiLevelType w:val="multilevel"/>
    <w:tmpl w:val="91061FCE"/>
    <w:lvl w:ilvl="0">
      <w:numFmt w:val="bullet"/>
      <w:lvlText w:val="-"/>
      <w:lvlJc w:val="left"/>
      <w:pPr>
        <w:tabs>
          <w:tab w:val="num" w:pos="1429"/>
        </w:tabs>
        <w:ind w:left="1429"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49D2EE7"/>
    <w:multiLevelType w:val="multilevel"/>
    <w:tmpl w:val="123A9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4DA38ED"/>
    <w:multiLevelType w:val="hybridMultilevel"/>
    <w:tmpl w:val="4B9C2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A35966"/>
    <w:multiLevelType w:val="multilevel"/>
    <w:tmpl w:val="BCB01C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71720357"/>
    <w:multiLevelType w:val="hybridMultilevel"/>
    <w:tmpl w:val="B0288300"/>
    <w:lvl w:ilvl="0" w:tplc="0410000F">
      <w:start w:val="1"/>
      <w:numFmt w:val="decimal"/>
      <w:lvlText w:val="%1."/>
      <w:lvlJc w:val="left"/>
      <w:pPr>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D76991"/>
    <w:multiLevelType w:val="hybridMultilevel"/>
    <w:tmpl w:val="8064E378"/>
    <w:lvl w:ilvl="0" w:tplc="4B36C1E2">
      <w:numFmt w:val="bullet"/>
      <w:lvlText w:val="-"/>
      <w:lvlJc w:val="left"/>
      <w:pPr>
        <w:tabs>
          <w:tab w:val="num" w:pos="1429"/>
        </w:tabs>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9185723"/>
    <w:multiLevelType w:val="multilevel"/>
    <w:tmpl w:val="1DE8C6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96E4FD0"/>
    <w:multiLevelType w:val="multilevel"/>
    <w:tmpl w:val="6EFE6AA0"/>
    <w:lvl w:ilvl="0">
      <w:start w:val="1"/>
      <w:numFmt w:val="decimal"/>
      <w:lvlText w:val="%1"/>
      <w:lvlJc w:val="left"/>
      <w:pPr>
        <w:ind w:left="360" w:hanging="360"/>
      </w:pPr>
      <w:rPr>
        <w:rFonts w:hint="default"/>
      </w:rPr>
    </w:lvl>
    <w:lvl w:ilvl="1">
      <w:start w:val="2"/>
      <w:numFmt w:val="decimal"/>
      <w:lvlText w:val="%1.%2"/>
      <w:lvlJc w:val="left"/>
      <w:pPr>
        <w:ind w:left="502" w:hanging="360"/>
      </w:p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7C726A51"/>
    <w:multiLevelType w:val="hybridMultilevel"/>
    <w:tmpl w:val="D55A8F0E"/>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DE35252"/>
    <w:multiLevelType w:val="hybridMultilevel"/>
    <w:tmpl w:val="91061FCE"/>
    <w:lvl w:ilvl="0" w:tplc="4B36C1E2">
      <w:numFmt w:val="bullet"/>
      <w:lvlText w:val="-"/>
      <w:lvlJc w:val="left"/>
      <w:pPr>
        <w:tabs>
          <w:tab w:val="num" w:pos="1429"/>
        </w:tabs>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539977421">
    <w:abstractNumId w:val="6"/>
  </w:num>
  <w:num w:numId="2" w16cid:durableId="197352864">
    <w:abstractNumId w:val="4"/>
  </w:num>
  <w:num w:numId="3" w16cid:durableId="475414140">
    <w:abstractNumId w:val="3"/>
  </w:num>
  <w:num w:numId="4" w16cid:durableId="181745627">
    <w:abstractNumId w:val="13"/>
  </w:num>
  <w:num w:numId="5" w16cid:durableId="461852599">
    <w:abstractNumId w:val="20"/>
  </w:num>
  <w:num w:numId="6" w16cid:durableId="1772121917">
    <w:abstractNumId w:val="9"/>
  </w:num>
  <w:num w:numId="7" w16cid:durableId="266543442">
    <w:abstractNumId w:val="8"/>
  </w:num>
  <w:num w:numId="8" w16cid:durableId="494731866">
    <w:abstractNumId w:val="11"/>
  </w:num>
  <w:num w:numId="9" w16cid:durableId="1526793734">
    <w:abstractNumId w:val="16"/>
  </w:num>
  <w:num w:numId="10" w16cid:durableId="658774548">
    <w:abstractNumId w:val="15"/>
  </w:num>
  <w:num w:numId="11" w16cid:durableId="1041317957">
    <w:abstractNumId w:val="1"/>
  </w:num>
  <w:num w:numId="12" w16cid:durableId="1901362413">
    <w:abstractNumId w:val="2"/>
  </w:num>
  <w:num w:numId="13" w16cid:durableId="237447525">
    <w:abstractNumId w:val="18"/>
  </w:num>
  <w:num w:numId="14" w16cid:durableId="2011716607">
    <w:abstractNumId w:val="14"/>
  </w:num>
  <w:num w:numId="15" w16cid:durableId="7561987">
    <w:abstractNumId w:val="17"/>
  </w:num>
  <w:num w:numId="16" w16cid:durableId="1769426484">
    <w:abstractNumId w:val="12"/>
  </w:num>
  <w:num w:numId="17" w16cid:durableId="835192814">
    <w:abstractNumId w:val="10"/>
  </w:num>
  <w:num w:numId="18" w16cid:durableId="1769347389">
    <w:abstractNumId w:val="19"/>
  </w:num>
  <w:num w:numId="19" w16cid:durableId="1270700813">
    <w:abstractNumId w:val="7"/>
  </w:num>
  <w:num w:numId="20" w16cid:durableId="1880166569">
    <w:abstractNumId w:val="5"/>
  </w:num>
  <w:num w:numId="21" w16cid:durableId="201838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A3"/>
    <w:rsid w:val="00020A9D"/>
    <w:rsid w:val="000373ED"/>
    <w:rsid w:val="00050000"/>
    <w:rsid w:val="000717E5"/>
    <w:rsid w:val="00082AFB"/>
    <w:rsid w:val="000B1BD8"/>
    <w:rsid w:val="000C1462"/>
    <w:rsid w:val="00114E56"/>
    <w:rsid w:val="001506B4"/>
    <w:rsid w:val="00177EFB"/>
    <w:rsid w:val="001814C2"/>
    <w:rsid w:val="00243549"/>
    <w:rsid w:val="002457E9"/>
    <w:rsid w:val="0025542A"/>
    <w:rsid w:val="00285585"/>
    <w:rsid w:val="00297EBF"/>
    <w:rsid w:val="002B431B"/>
    <w:rsid w:val="00302588"/>
    <w:rsid w:val="00354221"/>
    <w:rsid w:val="003B7718"/>
    <w:rsid w:val="003F32D8"/>
    <w:rsid w:val="003F7C48"/>
    <w:rsid w:val="0040638D"/>
    <w:rsid w:val="00424EA4"/>
    <w:rsid w:val="00457378"/>
    <w:rsid w:val="00495A17"/>
    <w:rsid w:val="004F60F2"/>
    <w:rsid w:val="00584B78"/>
    <w:rsid w:val="005A5A37"/>
    <w:rsid w:val="005D3673"/>
    <w:rsid w:val="006B1B5F"/>
    <w:rsid w:val="006D200F"/>
    <w:rsid w:val="006E0BFA"/>
    <w:rsid w:val="006F1FDF"/>
    <w:rsid w:val="0075626E"/>
    <w:rsid w:val="0075730E"/>
    <w:rsid w:val="0076167F"/>
    <w:rsid w:val="0077634C"/>
    <w:rsid w:val="00796244"/>
    <w:rsid w:val="008009E4"/>
    <w:rsid w:val="00802B48"/>
    <w:rsid w:val="008142F0"/>
    <w:rsid w:val="00881F02"/>
    <w:rsid w:val="008821F9"/>
    <w:rsid w:val="008906EA"/>
    <w:rsid w:val="008B4DD1"/>
    <w:rsid w:val="008E2727"/>
    <w:rsid w:val="00901E3D"/>
    <w:rsid w:val="009044D3"/>
    <w:rsid w:val="00941740"/>
    <w:rsid w:val="0096612E"/>
    <w:rsid w:val="009763D3"/>
    <w:rsid w:val="00977F4D"/>
    <w:rsid w:val="009B0237"/>
    <w:rsid w:val="00A346A3"/>
    <w:rsid w:val="00A41C4F"/>
    <w:rsid w:val="00A6379F"/>
    <w:rsid w:val="00AA2064"/>
    <w:rsid w:val="00B30572"/>
    <w:rsid w:val="00B83EE6"/>
    <w:rsid w:val="00B86441"/>
    <w:rsid w:val="00B92C01"/>
    <w:rsid w:val="00BB71D4"/>
    <w:rsid w:val="00C27DF5"/>
    <w:rsid w:val="00C77F37"/>
    <w:rsid w:val="00CB2ED5"/>
    <w:rsid w:val="00CD3A0E"/>
    <w:rsid w:val="00CE750C"/>
    <w:rsid w:val="00D23255"/>
    <w:rsid w:val="00D52AF0"/>
    <w:rsid w:val="00D54AA9"/>
    <w:rsid w:val="00DC73B0"/>
    <w:rsid w:val="00E25243"/>
    <w:rsid w:val="00E34769"/>
    <w:rsid w:val="00E51D6C"/>
    <w:rsid w:val="00E716F5"/>
    <w:rsid w:val="00E728BC"/>
    <w:rsid w:val="00ED1D75"/>
    <w:rsid w:val="00ED37C7"/>
    <w:rsid w:val="00EF754E"/>
    <w:rsid w:val="00F1798A"/>
    <w:rsid w:val="00F340E6"/>
    <w:rsid w:val="00F34266"/>
    <w:rsid w:val="00F51D61"/>
    <w:rsid w:val="00F7769D"/>
    <w:rsid w:val="00F8630D"/>
    <w:rsid w:val="00F87146"/>
    <w:rsid w:val="00F94EDC"/>
    <w:rsid w:val="00FC721B"/>
    <w:rsid w:val="0AD41B81"/>
    <w:rsid w:val="22FEA9D1"/>
    <w:rsid w:val="556F5354"/>
    <w:rsid w:val="5907128C"/>
    <w:rsid w:val="7145481A"/>
    <w:rsid w:val="71BEFA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13A8F"/>
  <w15:docId w15:val="{8F0307C0-CAE5-C74C-9FD5-9C716F0C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3F32D8"/>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0">
    <w:name w:val="normale"/>
    <w:rsid w:val="003F32D8"/>
    <w:rPr>
      <w:smallCaps/>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Corpodeltesto1">
    <w:name w:val="Corpo del testo1"/>
    <w:basedOn w:val="Normale"/>
    <w:rsid w:val="003F32D8"/>
    <w:rPr>
      <w:sz w:val="18"/>
      <w:szCs w:val="18"/>
    </w:rPr>
  </w:style>
  <w:style w:type="paragraph" w:styleId="Testofumetto">
    <w:name w:val="Balloon Text"/>
    <w:basedOn w:val="Normale"/>
    <w:semiHidden/>
    <w:rsid w:val="001814C2"/>
    <w:rPr>
      <w:rFonts w:ascii="Tahoma" w:hAnsi="Tahoma" w:cs="Tahoma"/>
      <w:sz w:val="16"/>
      <w:szCs w:val="16"/>
    </w:rPr>
  </w:style>
  <w:style w:type="character" w:customStyle="1" w:styleId="Testo1Carattere">
    <w:name w:val="Testo 1 Carattere"/>
    <w:link w:val="Testo1"/>
    <w:rsid w:val="00BB71D4"/>
    <w:rPr>
      <w:rFonts w:ascii="Times" w:hAnsi="Times"/>
      <w:noProof/>
      <w:sz w:val="18"/>
      <w:lang w:val="it-IT" w:eastAsia="it-IT" w:bidi="ar-SA"/>
    </w:rPr>
  </w:style>
  <w:style w:type="character" w:customStyle="1" w:styleId="Testo2Carattere">
    <w:name w:val="Testo 2 Carattere"/>
    <w:link w:val="Testo2"/>
    <w:rsid w:val="00BB71D4"/>
    <w:rPr>
      <w:rFonts w:ascii="Times" w:hAnsi="Times"/>
      <w:noProof/>
      <w:sz w:val="18"/>
      <w:lang w:val="it-IT" w:eastAsia="it-IT" w:bidi="ar-SA"/>
    </w:rPr>
  </w:style>
  <w:style w:type="character" w:styleId="Collegamentoipertestuale">
    <w:name w:val="Hyperlink"/>
    <w:basedOn w:val="Carpredefinitoparagrafo"/>
    <w:uiPriority w:val="99"/>
    <w:unhideWhenUsed/>
    <w:rsid w:val="009B0237"/>
    <w:rPr>
      <w:color w:val="0000FF"/>
      <w:u w:val="single"/>
    </w:rPr>
  </w:style>
  <w:style w:type="paragraph" w:styleId="Paragrafoelenco">
    <w:name w:val="List Paragraph"/>
    <w:basedOn w:val="Normale"/>
    <w:uiPriority w:val="34"/>
    <w:qFormat/>
    <w:rsid w:val="00E51D6C"/>
    <w:pPr>
      <w:ind w:left="720"/>
      <w:contextualSpacing/>
    </w:pPr>
  </w:style>
  <w:style w:type="character" w:styleId="Rimandocommento">
    <w:name w:val="annotation reference"/>
    <w:basedOn w:val="Carpredefinitoparagrafo"/>
    <w:semiHidden/>
    <w:unhideWhenUsed/>
    <w:rsid w:val="00DC73B0"/>
    <w:rPr>
      <w:sz w:val="16"/>
      <w:szCs w:val="16"/>
    </w:rPr>
  </w:style>
  <w:style w:type="paragraph" w:styleId="Testocommento">
    <w:name w:val="annotation text"/>
    <w:basedOn w:val="Normale"/>
    <w:link w:val="TestocommentoCarattere"/>
    <w:semiHidden/>
    <w:unhideWhenUsed/>
    <w:rsid w:val="00DC73B0"/>
    <w:pPr>
      <w:spacing w:line="240" w:lineRule="auto"/>
    </w:pPr>
  </w:style>
  <w:style w:type="character" w:customStyle="1" w:styleId="TestocommentoCarattere">
    <w:name w:val="Testo commento Carattere"/>
    <w:basedOn w:val="Carpredefinitoparagrafo"/>
    <w:link w:val="Testocommento"/>
    <w:semiHidden/>
    <w:rsid w:val="00DC73B0"/>
    <w:rPr>
      <w:rFonts w:ascii="Times" w:hAnsi="Times"/>
    </w:rPr>
  </w:style>
  <w:style w:type="paragraph" w:styleId="Soggettocommento">
    <w:name w:val="annotation subject"/>
    <w:basedOn w:val="Testocommento"/>
    <w:next w:val="Testocommento"/>
    <w:link w:val="SoggettocommentoCarattere"/>
    <w:semiHidden/>
    <w:unhideWhenUsed/>
    <w:rsid w:val="00DC73B0"/>
    <w:rPr>
      <w:b/>
      <w:bCs/>
    </w:rPr>
  </w:style>
  <w:style w:type="character" w:customStyle="1" w:styleId="SoggettocommentoCarattere">
    <w:name w:val="Soggetto commento Carattere"/>
    <w:basedOn w:val="TestocommentoCarattere"/>
    <w:link w:val="Soggettocommento"/>
    <w:semiHidden/>
    <w:rsid w:val="00DC73B0"/>
    <w:rPr>
      <w:rFonts w:ascii="Times" w:hAnsi="Times"/>
      <w:b/>
      <w:bCs/>
    </w:rPr>
  </w:style>
  <w:style w:type="character" w:customStyle="1" w:styleId="Menzionenonrisolta1">
    <w:name w:val="Menzione non risolta1"/>
    <w:basedOn w:val="Carpredefinitoparagrafo"/>
    <w:uiPriority w:val="99"/>
    <w:semiHidden/>
    <w:unhideWhenUsed/>
    <w:rsid w:val="003F7C48"/>
    <w:rPr>
      <w:color w:val="605E5C"/>
      <w:shd w:val="clear" w:color="auto" w:fill="E1DFDD"/>
    </w:rPr>
  </w:style>
  <w:style w:type="paragraph" w:styleId="Testonotaapidipagina">
    <w:name w:val="footnote text"/>
    <w:basedOn w:val="Normale"/>
    <w:link w:val="TestonotaapidipaginaCarattere"/>
    <w:semiHidden/>
    <w:unhideWhenUsed/>
    <w:rsid w:val="00CD3A0E"/>
    <w:pPr>
      <w:spacing w:line="240" w:lineRule="auto"/>
    </w:pPr>
  </w:style>
  <w:style w:type="character" w:customStyle="1" w:styleId="TestonotaapidipaginaCarattere">
    <w:name w:val="Testo nota a piè di pagina Carattere"/>
    <w:basedOn w:val="Carpredefinitoparagrafo"/>
    <w:link w:val="Testonotaapidipagina"/>
    <w:semiHidden/>
    <w:rsid w:val="00CD3A0E"/>
    <w:rPr>
      <w:rFonts w:ascii="Times" w:hAnsi="Times"/>
    </w:rPr>
  </w:style>
  <w:style w:type="character" w:styleId="Rimandonotaapidipagina">
    <w:name w:val="footnote reference"/>
    <w:basedOn w:val="Carpredefinitoparagrafo"/>
    <w:semiHidden/>
    <w:unhideWhenUsed/>
    <w:rsid w:val="00CD3A0E"/>
    <w:rPr>
      <w:vertAlign w:val="superscript"/>
    </w:rPr>
  </w:style>
  <w:style w:type="character" w:customStyle="1" w:styleId="Menzionenonrisolta2">
    <w:name w:val="Menzione non risolta2"/>
    <w:basedOn w:val="Carpredefinitoparagrafo"/>
    <w:uiPriority w:val="99"/>
    <w:semiHidden/>
    <w:unhideWhenUsed/>
    <w:rsid w:val="00882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3391">
      <w:bodyDiv w:val="1"/>
      <w:marLeft w:val="0"/>
      <w:marRight w:val="0"/>
      <w:marTop w:val="0"/>
      <w:marBottom w:val="0"/>
      <w:divBdr>
        <w:top w:val="none" w:sz="0" w:space="0" w:color="auto"/>
        <w:left w:val="none" w:sz="0" w:space="0" w:color="auto"/>
        <w:bottom w:val="none" w:sz="0" w:space="0" w:color="auto"/>
        <w:right w:val="none" w:sz="0" w:space="0" w:color="auto"/>
      </w:divBdr>
    </w:div>
    <w:div w:id="463426248">
      <w:bodyDiv w:val="1"/>
      <w:marLeft w:val="0"/>
      <w:marRight w:val="0"/>
      <w:marTop w:val="0"/>
      <w:marBottom w:val="0"/>
      <w:divBdr>
        <w:top w:val="none" w:sz="0" w:space="0" w:color="auto"/>
        <w:left w:val="none" w:sz="0" w:space="0" w:color="auto"/>
        <w:bottom w:val="none" w:sz="0" w:space="0" w:color="auto"/>
        <w:right w:val="none" w:sz="0" w:space="0" w:color="auto"/>
      </w:divBdr>
    </w:div>
    <w:div w:id="1087070916">
      <w:bodyDiv w:val="1"/>
      <w:marLeft w:val="0"/>
      <w:marRight w:val="0"/>
      <w:marTop w:val="0"/>
      <w:marBottom w:val="0"/>
      <w:divBdr>
        <w:top w:val="none" w:sz="0" w:space="0" w:color="auto"/>
        <w:left w:val="none" w:sz="0" w:space="0" w:color="auto"/>
        <w:bottom w:val="none" w:sz="0" w:space="0" w:color="auto"/>
        <w:right w:val="none" w:sz="0" w:space="0" w:color="auto"/>
      </w:divBdr>
    </w:div>
    <w:div w:id="1836798848">
      <w:bodyDiv w:val="1"/>
      <w:marLeft w:val="0"/>
      <w:marRight w:val="0"/>
      <w:marTop w:val="0"/>
      <w:marBottom w:val="0"/>
      <w:divBdr>
        <w:top w:val="none" w:sz="0" w:space="0" w:color="auto"/>
        <w:left w:val="none" w:sz="0" w:space="0" w:color="auto"/>
        <w:bottom w:val="none" w:sz="0" w:space="0" w:color="auto"/>
        <w:right w:val="none" w:sz="0" w:space="0" w:color="auto"/>
      </w:divBdr>
    </w:div>
    <w:div w:id="20779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esr.2022.10093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07/978-3-031-10302-5_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ecolecon.2019.10637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63B04-96C8-4194-B244-4DD7CC73FF40}">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69cdee98-039f-42ef-84e8-bcafbefa6ce6"/>
    <ds:schemaRef ds:uri="http://schemas.microsoft.com/office/infopath/2007/PartnerControls"/>
    <ds:schemaRef ds:uri="189edbf7-6629-4be8-98e2-0a629d83435f"/>
    <ds:schemaRef ds:uri="http://schemas.microsoft.com/office/2006/metadata/properties"/>
  </ds:schemaRefs>
</ds:datastoreItem>
</file>

<file path=customXml/itemProps2.xml><?xml version="1.0" encoding="utf-8"?>
<ds:datastoreItem xmlns:ds="http://schemas.openxmlformats.org/officeDocument/2006/customXml" ds:itemID="{E80F0697-8945-4BD7-8C0A-BC9BCE70C8CF}">
  <ds:schemaRefs>
    <ds:schemaRef ds:uri="http://schemas.microsoft.com/sharepoint/v3/contenttype/forms"/>
  </ds:schemaRefs>
</ds:datastoreItem>
</file>

<file path=customXml/itemProps3.xml><?xml version="1.0" encoding="utf-8"?>
<ds:datastoreItem xmlns:ds="http://schemas.openxmlformats.org/officeDocument/2006/customXml" ds:itemID="{A84FC88A-5CE2-457D-861B-5DF9EAE8AF8C}">
  <ds:schemaRefs>
    <ds:schemaRef ds:uri="http://schemas.openxmlformats.org/officeDocument/2006/bibliography"/>
  </ds:schemaRefs>
</ds:datastoreItem>
</file>

<file path=customXml/itemProps4.xml><?xml version="1.0" encoding="utf-8"?>
<ds:datastoreItem xmlns:ds="http://schemas.openxmlformats.org/officeDocument/2006/customXml" ds:itemID="{3F8DAB42-4229-4F2C-8FC6-5A0BD9C30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5</Pages>
  <Words>1397</Words>
  <Characters>8537</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33</vt:lpstr>
    </vt:vector>
  </TitlesOfParts>
  <Company>U.C.S.C. MILANO</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dc:title>
  <dc:creator>Direzione</dc:creator>
  <cp:lastModifiedBy>Cappa Marzia</cp:lastModifiedBy>
  <cp:revision>5</cp:revision>
  <cp:lastPrinted>2010-05-10T14:05:00Z</cp:lastPrinted>
  <dcterms:created xsi:type="dcterms:W3CDTF">2023-05-14T16:14:00Z</dcterms:created>
  <dcterms:modified xsi:type="dcterms:W3CDTF">2024-01-19T09:49:00Z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