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C5D8E" w14:textId="77777777" w:rsidR="00A5145F" w:rsidRPr="00EF07E4" w:rsidRDefault="00A5145F" w:rsidP="00A5145F">
      <w:pPr>
        <w:spacing w:after="0" w:line="240" w:lineRule="exact"/>
        <w:outlineLvl w:val="1"/>
        <w:rPr>
          <w:rFonts w:ascii="Times New Roman" w:eastAsia="Times New Roman" w:hAnsi="Times New Roman" w:cs="Times New Roman"/>
          <w:b/>
          <w:noProof/>
          <w:sz w:val="20"/>
          <w:szCs w:val="20"/>
          <w:lang w:val="en-GB" w:eastAsia="it-IT"/>
        </w:rPr>
      </w:pPr>
      <w:r w:rsidRPr="00EF07E4">
        <w:rPr>
          <w:rFonts w:ascii="Times New Roman" w:eastAsia="Times New Roman" w:hAnsi="Times New Roman" w:cs="Times New Roman"/>
          <w:b/>
          <w:noProof/>
          <w:sz w:val="20"/>
          <w:szCs w:val="20"/>
          <w:lang w:val="en-GB" w:eastAsia="it-IT"/>
        </w:rPr>
        <w:t>Economics and politics of sustainability</w:t>
      </w:r>
    </w:p>
    <w:p w14:paraId="3AADB779" w14:textId="77777777" w:rsidR="00A5145F" w:rsidRPr="002F2B90" w:rsidRDefault="00A5145F" w:rsidP="00A5145F">
      <w:pPr>
        <w:spacing w:after="0" w:line="240" w:lineRule="exact"/>
        <w:outlineLvl w:val="1"/>
        <w:rPr>
          <w:rFonts w:ascii="Times New Roman" w:eastAsia="Times New Roman" w:hAnsi="Times New Roman" w:cs="Times New Roman"/>
          <w:smallCaps/>
          <w:noProof/>
          <w:sz w:val="20"/>
          <w:szCs w:val="20"/>
          <w:lang w:eastAsia="it-IT"/>
        </w:rPr>
      </w:pPr>
      <w:r w:rsidRPr="00EF07E4">
        <w:rPr>
          <w:rFonts w:ascii="Times New Roman" w:eastAsia="Times New Roman" w:hAnsi="Times New Roman" w:cs="Times New Roman"/>
          <w:smallCaps/>
          <w:noProof/>
          <w:sz w:val="20"/>
          <w:szCs w:val="20"/>
          <w:lang w:val="en-GB" w:eastAsia="it-IT"/>
        </w:rPr>
        <w:t xml:space="preserve">Prof. </w:t>
      </w:r>
      <w:r w:rsidRPr="002F2B90">
        <w:rPr>
          <w:rFonts w:ascii="Times New Roman" w:eastAsia="Times New Roman" w:hAnsi="Times New Roman" w:cs="Times New Roman"/>
          <w:smallCaps/>
          <w:noProof/>
          <w:sz w:val="20"/>
          <w:szCs w:val="20"/>
          <w:lang w:eastAsia="it-IT"/>
        </w:rPr>
        <w:t>Francesco Timpano, Prof. Giovanni Guastella</w:t>
      </w:r>
    </w:p>
    <w:p w14:paraId="35648136" w14:textId="77777777" w:rsidR="00A5145F" w:rsidRPr="002F2B90" w:rsidRDefault="00A5145F" w:rsidP="00A5145F">
      <w:pPr>
        <w:spacing w:after="0" w:line="240" w:lineRule="exact"/>
        <w:outlineLvl w:val="1"/>
        <w:rPr>
          <w:rFonts w:ascii="Times New Roman" w:eastAsia="Times New Roman" w:hAnsi="Times New Roman" w:cs="Times New Roman"/>
          <w:smallCaps/>
          <w:noProof/>
          <w:sz w:val="20"/>
          <w:szCs w:val="20"/>
          <w:lang w:eastAsia="it-IT"/>
        </w:rPr>
      </w:pPr>
    </w:p>
    <w:p w14:paraId="6BD9EDD8" w14:textId="77777777" w:rsidR="00A5145F" w:rsidRPr="00EF07E4" w:rsidRDefault="00A5145F" w:rsidP="00A5145F">
      <w:pPr>
        <w:tabs>
          <w:tab w:val="left" w:pos="284"/>
        </w:tabs>
        <w:spacing w:before="240" w:after="120" w:line="240" w:lineRule="exact"/>
        <w:jc w:val="both"/>
        <w:rPr>
          <w:rFonts w:ascii="Times New Roman" w:eastAsia="Times New Roman" w:hAnsi="Times New Roman" w:cs="Times New Roman"/>
          <w:b/>
          <w:i/>
          <w:sz w:val="18"/>
          <w:szCs w:val="24"/>
          <w:lang w:val="en-GB" w:eastAsia="it-IT"/>
        </w:rPr>
      </w:pPr>
      <w:bookmarkStart w:id="0" w:name="_Hlk76557115"/>
      <w:r w:rsidRPr="00EF07E4">
        <w:rPr>
          <w:rFonts w:ascii="Times New Roman" w:eastAsia="Times New Roman" w:hAnsi="Times New Roman" w:cs="Times New Roman"/>
          <w:b/>
          <w:i/>
          <w:sz w:val="18"/>
          <w:szCs w:val="24"/>
          <w:lang w:val="en-GB" w:eastAsia="it-IT"/>
        </w:rPr>
        <w:t>COURSE AIMS AND INTENDED LEARNING OUTCOMES</w:t>
      </w:r>
      <w:bookmarkEnd w:id="0"/>
    </w:p>
    <w:p w14:paraId="228679C5" w14:textId="77777777" w:rsidR="00A5145F" w:rsidRPr="00EF07E4" w:rsidRDefault="00A5145F" w:rsidP="00A5145F">
      <w:pPr>
        <w:tabs>
          <w:tab w:val="left" w:pos="284"/>
        </w:tabs>
        <w:spacing w:after="0" w:line="240" w:lineRule="exact"/>
        <w:jc w:val="both"/>
        <w:rPr>
          <w:rFonts w:ascii="Times New Roman" w:eastAsia="Times New Roman" w:hAnsi="Times New Roman" w:cs="Times New Roman"/>
          <w:sz w:val="20"/>
          <w:szCs w:val="20"/>
          <w:lang w:val="en-GB" w:eastAsia="it-IT"/>
        </w:rPr>
      </w:pPr>
      <w:r w:rsidRPr="00500379">
        <w:rPr>
          <w:rFonts w:ascii="Times New Roman" w:eastAsia="Times New Roman" w:hAnsi="Times New Roman" w:cs="Times New Roman"/>
          <w:sz w:val="20"/>
          <w:szCs w:val="20"/>
          <w:lang w:val="en-GB" w:eastAsia="it-IT"/>
        </w:rPr>
        <w:t xml:space="preserve">The course aims to provide students with a complete overview of issues </w:t>
      </w:r>
      <w:r>
        <w:rPr>
          <w:rFonts w:ascii="Times New Roman" w:eastAsia="Times New Roman" w:hAnsi="Times New Roman" w:cs="Times New Roman"/>
          <w:sz w:val="20"/>
          <w:szCs w:val="20"/>
          <w:lang w:val="en-GB" w:eastAsia="it-IT"/>
        </w:rPr>
        <w:t>concerning</w:t>
      </w:r>
      <w:r w:rsidRPr="00500379">
        <w:rPr>
          <w:rFonts w:ascii="Times New Roman" w:eastAsia="Times New Roman" w:hAnsi="Times New Roman" w:cs="Times New Roman"/>
          <w:sz w:val="20"/>
          <w:szCs w:val="20"/>
          <w:lang w:val="en-GB" w:eastAsia="it-IT"/>
        </w:rPr>
        <w:t xml:space="preserve"> sustainability in relation to corporate decisions and change</w:t>
      </w:r>
      <w:r>
        <w:rPr>
          <w:rFonts w:ascii="Times New Roman" w:eastAsia="Times New Roman" w:hAnsi="Times New Roman" w:cs="Times New Roman"/>
          <w:sz w:val="20"/>
          <w:szCs w:val="20"/>
          <w:lang w:val="en-GB" w:eastAsia="it-IT"/>
        </w:rPr>
        <w:t>s</w:t>
      </w:r>
      <w:r w:rsidRPr="00500379">
        <w:rPr>
          <w:rFonts w:ascii="Times New Roman" w:eastAsia="Times New Roman" w:hAnsi="Times New Roman" w:cs="Times New Roman"/>
          <w:sz w:val="20"/>
          <w:szCs w:val="20"/>
          <w:lang w:val="en-GB" w:eastAsia="it-IT"/>
        </w:rPr>
        <w:t xml:space="preserve"> in business models</w:t>
      </w:r>
      <w:r>
        <w:rPr>
          <w:rFonts w:ascii="Times New Roman" w:eastAsia="Times New Roman" w:hAnsi="Times New Roman" w:cs="Times New Roman"/>
          <w:sz w:val="20"/>
          <w:szCs w:val="20"/>
          <w:lang w:val="en-GB" w:eastAsia="it-IT"/>
        </w:rPr>
        <w:t>,</w:t>
      </w:r>
      <w:r w:rsidRPr="00500379">
        <w:rPr>
          <w:rFonts w:ascii="Times New Roman" w:eastAsia="Times New Roman" w:hAnsi="Times New Roman" w:cs="Times New Roman"/>
          <w:sz w:val="20"/>
          <w:szCs w:val="20"/>
          <w:lang w:val="en-GB" w:eastAsia="it-IT"/>
        </w:rPr>
        <w:t xml:space="preserve"> with specific attention to </w:t>
      </w:r>
      <w:r>
        <w:rPr>
          <w:rFonts w:ascii="Times New Roman" w:eastAsia="Times New Roman" w:hAnsi="Times New Roman" w:cs="Times New Roman"/>
          <w:sz w:val="20"/>
          <w:szCs w:val="20"/>
          <w:lang w:val="en-GB" w:eastAsia="it-IT"/>
        </w:rPr>
        <w:t xml:space="preserve">the </w:t>
      </w:r>
      <w:r w:rsidRPr="00500379">
        <w:rPr>
          <w:rFonts w:ascii="Times New Roman" w:eastAsia="Times New Roman" w:hAnsi="Times New Roman" w:cs="Times New Roman"/>
          <w:sz w:val="20"/>
          <w:szCs w:val="20"/>
          <w:lang w:val="en-GB" w:eastAsia="it-IT"/>
        </w:rPr>
        <w:t xml:space="preserve">policies, especially </w:t>
      </w:r>
      <w:r>
        <w:rPr>
          <w:rFonts w:ascii="Times New Roman" w:eastAsia="Times New Roman" w:hAnsi="Times New Roman" w:cs="Times New Roman"/>
          <w:sz w:val="20"/>
          <w:szCs w:val="20"/>
          <w:lang w:val="en-GB" w:eastAsia="it-IT"/>
        </w:rPr>
        <w:t xml:space="preserve">the </w:t>
      </w:r>
      <w:r w:rsidRPr="00500379">
        <w:rPr>
          <w:rFonts w:ascii="Times New Roman" w:eastAsia="Times New Roman" w:hAnsi="Times New Roman" w:cs="Times New Roman"/>
          <w:sz w:val="20"/>
          <w:szCs w:val="20"/>
          <w:lang w:val="en-GB" w:eastAsia="it-IT"/>
        </w:rPr>
        <w:t xml:space="preserve">European ones, which are progressively outlining the sustainable transition path. The </w:t>
      </w:r>
      <w:r>
        <w:rPr>
          <w:rFonts w:ascii="Times New Roman" w:eastAsia="Times New Roman" w:hAnsi="Times New Roman" w:cs="Times New Roman"/>
          <w:sz w:val="20"/>
          <w:szCs w:val="20"/>
          <w:lang w:val="en-GB" w:eastAsia="it-IT"/>
        </w:rPr>
        <w:t>course</w:t>
      </w:r>
      <w:r w:rsidRPr="00500379">
        <w:rPr>
          <w:rFonts w:ascii="Times New Roman" w:eastAsia="Times New Roman" w:hAnsi="Times New Roman" w:cs="Times New Roman"/>
          <w:sz w:val="20"/>
          <w:szCs w:val="20"/>
          <w:lang w:val="en-GB" w:eastAsia="it-IT"/>
        </w:rPr>
        <w:t xml:space="preserve"> consists of two parts</w:t>
      </w:r>
      <w:r w:rsidRPr="00EF07E4">
        <w:rPr>
          <w:rFonts w:ascii="Times New Roman" w:eastAsia="Times New Roman" w:hAnsi="Times New Roman" w:cs="Times New Roman"/>
          <w:sz w:val="20"/>
          <w:szCs w:val="20"/>
          <w:lang w:val="en-GB" w:eastAsia="it-IT"/>
        </w:rPr>
        <w:t>.</w:t>
      </w:r>
    </w:p>
    <w:p w14:paraId="1BFA4F9D" w14:textId="77777777" w:rsidR="00A5145F" w:rsidRPr="00EF07E4" w:rsidRDefault="00A5145F" w:rsidP="00A5145F">
      <w:pPr>
        <w:tabs>
          <w:tab w:val="left" w:pos="284"/>
        </w:tabs>
        <w:spacing w:after="0" w:line="240" w:lineRule="exact"/>
        <w:jc w:val="both"/>
        <w:rPr>
          <w:rFonts w:ascii="Times New Roman" w:eastAsia="Times New Roman" w:hAnsi="Times New Roman" w:cs="Times New Roman"/>
          <w:sz w:val="20"/>
          <w:szCs w:val="20"/>
          <w:lang w:val="en-GB" w:eastAsia="it-IT"/>
        </w:rPr>
      </w:pPr>
      <w:r w:rsidRPr="00500379">
        <w:rPr>
          <w:rFonts w:ascii="Times New Roman" w:eastAsia="Times New Roman" w:hAnsi="Times New Roman" w:cs="Times New Roman"/>
          <w:sz w:val="20"/>
          <w:szCs w:val="20"/>
          <w:lang w:val="en-GB" w:eastAsia="it-IT"/>
        </w:rPr>
        <w:t xml:space="preserve">The first module of the course starts from the approach of the Sustainable Development Goals of the UN Agenda 2030 (SDGs) to represent the evolution of the European framework which is leading from the European Green Deal to the Sustainable Finance Action Plan </w:t>
      </w:r>
      <w:r>
        <w:rPr>
          <w:rFonts w:ascii="Times New Roman" w:eastAsia="Times New Roman" w:hAnsi="Times New Roman" w:cs="Times New Roman"/>
          <w:sz w:val="20"/>
          <w:szCs w:val="20"/>
          <w:lang w:val="en-GB" w:eastAsia="it-IT"/>
        </w:rPr>
        <w:t>and</w:t>
      </w:r>
      <w:r w:rsidRPr="00500379">
        <w:rPr>
          <w:rFonts w:ascii="Times New Roman" w:eastAsia="Times New Roman" w:hAnsi="Times New Roman" w:cs="Times New Roman"/>
          <w:sz w:val="20"/>
          <w:szCs w:val="20"/>
          <w:lang w:val="en-GB" w:eastAsia="it-IT"/>
        </w:rPr>
        <w:t xml:space="preserve"> the recent interventions in the field of production standards, reporting, financial regulation</w:t>
      </w:r>
      <w:r>
        <w:rPr>
          <w:rFonts w:ascii="Times New Roman" w:eastAsia="Times New Roman" w:hAnsi="Times New Roman" w:cs="Times New Roman"/>
          <w:sz w:val="20"/>
          <w:szCs w:val="20"/>
          <w:lang w:val="en-GB" w:eastAsia="it-IT"/>
        </w:rPr>
        <w:t>,</w:t>
      </w:r>
      <w:r w:rsidRPr="00500379">
        <w:rPr>
          <w:rFonts w:ascii="Times New Roman" w:eastAsia="Times New Roman" w:hAnsi="Times New Roman" w:cs="Times New Roman"/>
          <w:sz w:val="20"/>
          <w:szCs w:val="20"/>
          <w:lang w:val="en-GB" w:eastAsia="it-IT"/>
        </w:rPr>
        <w:t xml:space="preserve"> and taxonomy of sustainable economic activities.</w:t>
      </w:r>
      <w:r>
        <w:rPr>
          <w:rFonts w:ascii="Times New Roman" w:eastAsia="Times New Roman" w:hAnsi="Times New Roman" w:cs="Times New Roman"/>
          <w:sz w:val="20"/>
          <w:szCs w:val="20"/>
          <w:lang w:val="en-GB" w:eastAsia="it-IT"/>
        </w:rPr>
        <w:t xml:space="preserve"> </w:t>
      </w:r>
      <w:r w:rsidRPr="00500379">
        <w:rPr>
          <w:rFonts w:ascii="Times New Roman" w:eastAsia="Times New Roman" w:hAnsi="Times New Roman" w:cs="Times New Roman"/>
          <w:sz w:val="20"/>
          <w:szCs w:val="20"/>
          <w:lang w:val="en-GB" w:eastAsia="it-IT"/>
        </w:rPr>
        <w:t xml:space="preserve">Subsequently, </w:t>
      </w:r>
      <w:r>
        <w:rPr>
          <w:rFonts w:ascii="Times New Roman" w:eastAsia="Times New Roman" w:hAnsi="Times New Roman" w:cs="Times New Roman"/>
          <w:sz w:val="20"/>
          <w:szCs w:val="20"/>
          <w:lang w:val="en-GB" w:eastAsia="it-IT"/>
        </w:rPr>
        <w:t>the course will</w:t>
      </w:r>
      <w:r w:rsidRPr="00500379">
        <w:rPr>
          <w:rFonts w:ascii="Times New Roman" w:eastAsia="Times New Roman" w:hAnsi="Times New Roman" w:cs="Times New Roman"/>
          <w:sz w:val="20"/>
          <w:szCs w:val="20"/>
          <w:lang w:val="en-GB" w:eastAsia="it-IT"/>
        </w:rPr>
        <w:t xml:space="preserve"> focus on the economic policies implemented at the European level in response to the major adverse events of the last fifteen years, from the 2008 financial crisis to the pandemic crisis and the war</w:t>
      </w:r>
      <w:r>
        <w:rPr>
          <w:rFonts w:ascii="Times New Roman" w:eastAsia="Times New Roman" w:hAnsi="Times New Roman" w:cs="Times New Roman"/>
          <w:sz w:val="20"/>
          <w:szCs w:val="20"/>
          <w:lang w:val="en-GB" w:eastAsia="it-IT"/>
        </w:rPr>
        <w:t xml:space="preserve">. </w:t>
      </w:r>
      <w:r w:rsidRPr="00500379">
        <w:rPr>
          <w:rFonts w:ascii="Times New Roman" w:eastAsia="Times New Roman" w:hAnsi="Times New Roman" w:cs="Times New Roman"/>
          <w:sz w:val="20"/>
          <w:szCs w:val="20"/>
          <w:lang w:val="en-GB" w:eastAsia="it-IT"/>
        </w:rPr>
        <w:t xml:space="preserve">In addition to </w:t>
      </w:r>
      <w:r>
        <w:rPr>
          <w:rFonts w:ascii="Times New Roman" w:eastAsia="Times New Roman" w:hAnsi="Times New Roman" w:cs="Times New Roman"/>
          <w:sz w:val="20"/>
          <w:szCs w:val="20"/>
          <w:lang w:val="en-GB" w:eastAsia="it-IT"/>
        </w:rPr>
        <w:t>addressing</w:t>
      </w:r>
      <w:r w:rsidRPr="00500379">
        <w:rPr>
          <w:rFonts w:ascii="Times New Roman" w:eastAsia="Times New Roman" w:hAnsi="Times New Roman" w:cs="Times New Roman"/>
          <w:sz w:val="20"/>
          <w:szCs w:val="20"/>
          <w:lang w:val="en-GB" w:eastAsia="it-IT"/>
        </w:rPr>
        <w:t xml:space="preserve"> the policies adopted, the</w:t>
      </w:r>
      <w:r>
        <w:rPr>
          <w:rFonts w:ascii="Times New Roman" w:eastAsia="Times New Roman" w:hAnsi="Times New Roman" w:cs="Times New Roman"/>
          <w:sz w:val="20"/>
          <w:szCs w:val="20"/>
          <w:lang w:val="en-GB" w:eastAsia="it-IT"/>
        </w:rPr>
        <w:t xml:space="preserve"> course will reconstruct the</w:t>
      </w:r>
      <w:r w:rsidRPr="00500379">
        <w:rPr>
          <w:rFonts w:ascii="Times New Roman" w:eastAsia="Times New Roman" w:hAnsi="Times New Roman" w:cs="Times New Roman"/>
          <w:sz w:val="20"/>
          <w:szCs w:val="20"/>
          <w:lang w:val="en-GB" w:eastAsia="it-IT"/>
        </w:rPr>
        <w:t xml:space="preserve"> economic rationale that inspired them in the overall framework of the European Union construction</w:t>
      </w:r>
      <w:r w:rsidRPr="00EF07E4">
        <w:rPr>
          <w:rFonts w:ascii="Times New Roman" w:eastAsia="Times New Roman" w:hAnsi="Times New Roman" w:cs="Times New Roman"/>
          <w:sz w:val="20"/>
          <w:szCs w:val="20"/>
          <w:lang w:val="en-GB" w:eastAsia="it-IT"/>
        </w:rPr>
        <w:t>.</w:t>
      </w:r>
    </w:p>
    <w:p w14:paraId="6CCCF3BA" w14:textId="77777777" w:rsidR="00A5145F" w:rsidRPr="00EF07E4" w:rsidRDefault="00A5145F" w:rsidP="00A5145F">
      <w:pPr>
        <w:tabs>
          <w:tab w:val="left" w:pos="284"/>
        </w:tabs>
        <w:spacing w:after="0" w:line="240" w:lineRule="exact"/>
        <w:rPr>
          <w:rFonts w:ascii="Times New Roman" w:eastAsia="Times New Roman" w:hAnsi="Times New Roman" w:cs="Times New Roman"/>
          <w:sz w:val="20"/>
          <w:szCs w:val="20"/>
          <w:lang w:val="en-GB" w:eastAsia="it-IT"/>
        </w:rPr>
      </w:pPr>
      <w:r>
        <w:rPr>
          <w:rFonts w:ascii="Times New Roman" w:eastAsia="Times New Roman" w:hAnsi="Times New Roman" w:cs="Times New Roman"/>
          <w:sz w:val="20"/>
          <w:szCs w:val="20"/>
          <w:lang w:val="en-GB" w:eastAsia="it-IT"/>
        </w:rPr>
        <w:t>T</w:t>
      </w:r>
      <w:r w:rsidRPr="00682891">
        <w:rPr>
          <w:rFonts w:ascii="Times New Roman" w:eastAsia="Times New Roman" w:hAnsi="Times New Roman" w:cs="Times New Roman"/>
          <w:sz w:val="20"/>
          <w:szCs w:val="20"/>
          <w:lang w:val="en-GB" w:eastAsia="it-IT"/>
        </w:rPr>
        <w:t>he second module</w:t>
      </w:r>
      <w:r>
        <w:rPr>
          <w:rFonts w:ascii="Times New Roman" w:eastAsia="Times New Roman" w:hAnsi="Times New Roman" w:cs="Times New Roman"/>
          <w:sz w:val="20"/>
          <w:szCs w:val="20"/>
          <w:lang w:val="en-GB" w:eastAsia="it-IT"/>
        </w:rPr>
        <w:t xml:space="preserve"> examines</w:t>
      </w:r>
      <w:r w:rsidRPr="00682891">
        <w:rPr>
          <w:rFonts w:ascii="Times New Roman" w:eastAsia="Times New Roman" w:hAnsi="Times New Roman" w:cs="Times New Roman"/>
          <w:sz w:val="20"/>
          <w:szCs w:val="20"/>
          <w:lang w:val="en-GB" w:eastAsia="it-IT"/>
        </w:rPr>
        <w:t xml:space="preserve"> the role of circular economy, first providing the conceptual elements to understand the areas of application of the </w:t>
      </w:r>
      <w:r w:rsidRPr="00682891">
        <w:rPr>
          <w:rFonts w:ascii="Times New Roman" w:eastAsia="Times New Roman" w:hAnsi="Times New Roman" w:cs="Times New Roman"/>
          <w:i/>
          <w:iCs/>
          <w:sz w:val="20"/>
          <w:szCs w:val="20"/>
          <w:lang w:val="en-GB" w:eastAsia="it-IT"/>
        </w:rPr>
        <w:t>circular economy</w:t>
      </w:r>
      <w:r w:rsidRPr="00682891">
        <w:rPr>
          <w:rFonts w:ascii="Times New Roman" w:eastAsia="Times New Roman" w:hAnsi="Times New Roman" w:cs="Times New Roman"/>
          <w:sz w:val="20"/>
          <w:szCs w:val="20"/>
          <w:lang w:val="en-GB" w:eastAsia="it-IT"/>
        </w:rPr>
        <w:t xml:space="preserve">, also in relation to the </w:t>
      </w:r>
      <w:r w:rsidRPr="00682891">
        <w:rPr>
          <w:rFonts w:ascii="Times New Roman" w:eastAsia="Times New Roman" w:hAnsi="Times New Roman" w:cs="Times New Roman"/>
          <w:i/>
          <w:iCs/>
          <w:sz w:val="20"/>
          <w:szCs w:val="20"/>
          <w:lang w:val="en-GB" w:eastAsia="it-IT"/>
        </w:rPr>
        <w:t>green economy</w:t>
      </w:r>
      <w:r w:rsidRPr="00682891">
        <w:rPr>
          <w:rFonts w:ascii="Times New Roman" w:eastAsia="Times New Roman" w:hAnsi="Times New Roman" w:cs="Times New Roman"/>
          <w:sz w:val="20"/>
          <w:szCs w:val="20"/>
          <w:lang w:val="en-GB" w:eastAsia="it-IT"/>
        </w:rPr>
        <w:t xml:space="preserve"> and the </w:t>
      </w:r>
      <w:r w:rsidRPr="00682891">
        <w:rPr>
          <w:rFonts w:ascii="Times New Roman" w:eastAsia="Times New Roman" w:hAnsi="Times New Roman" w:cs="Times New Roman"/>
          <w:i/>
          <w:iCs/>
          <w:sz w:val="20"/>
          <w:szCs w:val="20"/>
          <w:lang w:val="en-GB" w:eastAsia="it-IT"/>
        </w:rPr>
        <w:t>bioeconomy</w:t>
      </w:r>
      <w:r w:rsidRPr="00682891">
        <w:rPr>
          <w:rFonts w:ascii="Times New Roman" w:eastAsia="Times New Roman" w:hAnsi="Times New Roman" w:cs="Times New Roman"/>
          <w:sz w:val="20"/>
          <w:szCs w:val="20"/>
          <w:lang w:val="en-GB" w:eastAsia="it-IT"/>
        </w:rPr>
        <w:t xml:space="preserve">, and then </w:t>
      </w:r>
      <w:r>
        <w:rPr>
          <w:rFonts w:ascii="Times New Roman" w:eastAsia="Times New Roman" w:hAnsi="Times New Roman" w:cs="Times New Roman"/>
          <w:sz w:val="20"/>
          <w:szCs w:val="20"/>
          <w:lang w:val="en-GB" w:eastAsia="it-IT"/>
        </w:rPr>
        <w:t>exploring</w:t>
      </w:r>
      <w:r w:rsidRPr="00682891">
        <w:rPr>
          <w:rFonts w:ascii="Times New Roman" w:eastAsia="Times New Roman" w:hAnsi="Times New Roman" w:cs="Times New Roman"/>
          <w:sz w:val="20"/>
          <w:szCs w:val="20"/>
          <w:lang w:val="en-GB" w:eastAsia="it-IT"/>
        </w:rPr>
        <w:t xml:space="preserve"> the measurement tools at company and sectoral level. Th</w:t>
      </w:r>
      <w:r>
        <w:rPr>
          <w:rFonts w:ascii="Times New Roman" w:eastAsia="Times New Roman" w:hAnsi="Times New Roman" w:cs="Times New Roman"/>
          <w:sz w:val="20"/>
          <w:szCs w:val="20"/>
          <w:lang w:val="en-GB" w:eastAsia="it-IT"/>
        </w:rPr>
        <w:t>is</w:t>
      </w:r>
      <w:r w:rsidRPr="00682891">
        <w:rPr>
          <w:rFonts w:ascii="Times New Roman" w:eastAsia="Times New Roman" w:hAnsi="Times New Roman" w:cs="Times New Roman"/>
          <w:sz w:val="20"/>
          <w:szCs w:val="20"/>
          <w:lang w:val="en-GB" w:eastAsia="it-IT"/>
        </w:rPr>
        <w:t xml:space="preserve"> part also includes a focus on circular innovation, with an analysis of the empirical evidence on its determinants and economic effects</w:t>
      </w:r>
      <w:r w:rsidRPr="00EF07E4">
        <w:rPr>
          <w:rFonts w:ascii="Times New Roman" w:eastAsia="Times New Roman" w:hAnsi="Times New Roman" w:cs="Times New Roman"/>
          <w:sz w:val="20"/>
          <w:szCs w:val="20"/>
          <w:lang w:val="en-GB" w:eastAsia="it-IT"/>
        </w:rPr>
        <w:t xml:space="preserve">. </w:t>
      </w:r>
    </w:p>
    <w:p w14:paraId="0DAF2188" w14:textId="77777777" w:rsidR="00A5145F" w:rsidRPr="00EF07E4" w:rsidRDefault="00A5145F" w:rsidP="00A5145F">
      <w:pPr>
        <w:tabs>
          <w:tab w:val="left" w:pos="284"/>
        </w:tabs>
        <w:spacing w:after="0" w:line="240" w:lineRule="exact"/>
        <w:jc w:val="both"/>
        <w:rPr>
          <w:rFonts w:ascii="Times New Roman" w:eastAsia="Times New Roman" w:hAnsi="Times New Roman" w:cs="Times New Roman"/>
          <w:sz w:val="20"/>
          <w:szCs w:val="20"/>
          <w:lang w:val="en-GB" w:eastAsia="it-IT"/>
        </w:rPr>
      </w:pPr>
      <w:r w:rsidRPr="00682891">
        <w:rPr>
          <w:rFonts w:ascii="Times New Roman" w:eastAsia="Times New Roman" w:hAnsi="Times New Roman" w:cs="Times New Roman"/>
          <w:sz w:val="20"/>
          <w:szCs w:val="20"/>
          <w:lang w:val="en-GB" w:eastAsia="it-IT"/>
        </w:rPr>
        <w:t>At the end of the course</w:t>
      </w:r>
      <w:r>
        <w:rPr>
          <w:rFonts w:ascii="Times New Roman" w:eastAsia="Times New Roman" w:hAnsi="Times New Roman" w:cs="Times New Roman"/>
          <w:sz w:val="20"/>
          <w:szCs w:val="20"/>
          <w:lang w:val="en-GB" w:eastAsia="it-IT"/>
        </w:rPr>
        <w:t>,</w:t>
      </w:r>
      <w:r w:rsidRPr="00682891">
        <w:rPr>
          <w:rFonts w:ascii="Times New Roman" w:eastAsia="Times New Roman" w:hAnsi="Times New Roman" w:cs="Times New Roman"/>
          <w:sz w:val="20"/>
          <w:szCs w:val="20"/>
          <w:lang w:val="en-GB" w:eastAsia="it-IT"/>
        </w:rPr>
        <w:t xml:space="preserve"> student</w:t>
      </w:r>
      <w:r>
        <w:rPr>
          <w:rFonts w:ascii="Times New Roman" w:eastAsia="Times New Roman" w:hAnsi="Times New Roman" w:cs="Times New Roman"/>
          <w:sz w:val="20"/>
          <w:szCs w:val="20"/>
          <w:lang w:val="en-GB" w:eastAsia="it-IT"/>
        </w:rPr>
        <w:t>s</w:t>
      </w:r>
      <w:r w:rsidRPr="00682891">
        <w:rPr>
          <w:rFonts w:ascii="Times New Roman" w:eastAsia="Times New Roman" w:hAnsi="Times New Roman" w:cs="Times New Roman"/>
          <w:sz w:val="20"/>
          <w:szCs w:val="20"/>
          <w:lang w:val="en-GB" w:eastAsia="it-IT"/>
        </w:rPr>
        <w:t xml:space="preserve"> will have developed the ability to understand the current evolution of the regulatory context on issues related to sustainability and the possible effects on strategic corporate choices. They will also be able to analy</w:t>
      </w:r>
      <w:r>
        <w:rPr>
          <w:rFonts w:ascii="Times New Roman" w:eastAsia="Times New Roman" w:hAnsi="Times New Roman" w:cs="Times New Roman"/>
          <w:sz w:val="20"/>
          <w:szCs w:val="20"/>
          <w:lang w:val="en-GB" w:eastAsia="it-IT"/>
        </w:rPr>
        <w:t>s</w:t>
      </w:r>
      <w:r w:rsidRPr="00682891">
        <w:rPr>
          <w:rFonts w:ascii="Times New Roman" w:eastAsia="Times New Roman" w:hAnsi="Times New Roman" w:cs="Times New Roman"/>
          <w:sz w:val="20"/>
          <w:szCs w:val="20"/>
          <w:lang w:val="en-GB" w:eastAsia="it-IT"/>
        </w:rPr>
        <w:t>e the sustainability of business models in terms of circularity, to identify potential spaces for circular transformation and to understand their benefits for the business</w:t>
      </w:r>
      <w:r w:rsidRPr="00EF07E4">
        <w:rPr>
          <w:rFonts w:ascii="Times New Roman" w:eastAsia="Times New Roman" w:hAnsi="Times New Roman" w:cs="Times New Roman"/>
          <w:sz w:val="20"/>
          <w:szCs w:val="20"/>
          <w:lang w:val="en-GB" w:eastAsia="it-IT"/>
        </w:rPr>
        <w:t xml:space="preserve">. </w:t>
      </w:r>
    </w:p>
    <w:p w14:paraId="12A614BB" w14:textId="77777777" w:rsidR="00A5145F" w:rsidRPr="00EF07E4" w:rsidRDefault="00A5145F" w:rsidP="00A5145F">
      <w:pPr>
        <w:tabs>
          <w:tab w:val="left" w:pos="284"/>
        </w:tabs>
        <w:spacing w:after="0" w:line="240" w:lineRule="exact"/>
        <w:jc w:val="both"/>
        <w:rPr>
          <w:rFonts w:ascii="Times New Roman" w:eastAsia="Times New Roman" w:hAnsi="Times New Roman" w:cs="Times New Roman"/>
          <w:sz w:val="20"/>
          <w:szCs w:val="20"/>
          <w:lang w:val="en-GB" w:eastAsia="it-IT"/>
        </w:rPr>
      </w:pPr>
      <w:r w:rsidRPr="00682891">
        <w:rPr>
          <w:rFonts w:ascii="Times New Roman" w:eastAsia="Times New Roman" w:hAnsi="Times New Roman" w:cs="Times New Roman"/>
          <w:sz w:val="20"/>
          <w:szCs w:val="20"/>
          <w:lang w:val="en-GB" w:eastAsia="it-IT"/>
        </w:rPr>
        <w:t xml:space="preserve">The alternation of theoretical notions with empirical applications and case studies during </w:t>
      </w:r>
      <w:r>
        <w:rPr>
          <w:rFonts w:ascii="Times New Roman" w:eastAsia="Times New Roman" w:hAnsi="Times New Roman" w:cs="Times New Roman"/>
          <w:sz w:val="20"/>
          <w:szCs w:val="20"/>
          <w:lang w:val="en-GB" w:eastAsia="it-IT"/>
        </w:rPr>
        <w:t>lectures</w:t>
      </w:r>
      <w:r w:rsidRPr="00682891">
        <w:rPr>
          <w:rFonts w:ascii="Times New Roman" w:eastAsia="Times New Roman" w:hAnsi="Times New Roman" w:cs="Times New Roman"/>
          <w:sz w:val="20"/>
          <w:szCs w:val="20"/>
          <w:lang w:val="en-GB" w:eastAsia="it-IT"/>
        </w:rPr>
        <w:t xml:space="preserve"> will allow student</w:t>
      </w:r>
      <w:r>
        <w:rPr>
          <w:rFonts w:ascii="Times New Roman" w:eastAsia="Times New Roman" w:hAnsi="Times New Roman" w:cs="Times New Roman"/>
          <w:sz w:val="20"/>
          <w:szCs w:val="20"/>
          <w:lang w:val="en-GB" w:eastAsia="it-IT"/>
        </w:rPr>
        <w:t>s</w:t>
      </w:r>
      <w:r w:rsidRPr="00682891">
        <w:rPr>
          <w:rFonts w:ascii="Times New Roman" w:eastAsia="Times New Roman" w:hAnsi="Times New Roman" w:cs="Times New Roman"/>
          <w:sz w:val="20"/>
          <w:szCs w:val="20"/>
          <w:lang w:val="en-GB" w:eastAsia="it-IT"/>
        </w:rPr>
        <w:t xml:space="preserve"> to develop the ability to independently apply the concepts learned to the study of specific cases</w:t>
      </w:r>
      <w:r w:rsidRPr="00EF07E4">
        <w:rPr>
          <w:rFonts w:ascii="Times New Roman" w:eastAsia="Times New Roman" w:hAnsi="Times New Roman" w:cs="Times New Roman"/>
          <w:sz w:val="20"/>
          <w:szCs w:val="20"/>
          <w:lang w:val="en-GB" w:eastAsia="it-IT"/>
        </w:rPr>
        <w:t>.</w:t>
      </w:r>
    </w:p>
    <w:p w14:paraId="087617DD" w14:textId="77777777" w:rsidR="00A5145F" w:rsidRDefault="00A5145F" w:rsidP="00A5145F">
      <w:pPr>
        <w:tabs>
          <w:tab w:val="left" w:pos="284"/>
        </w:tabs>
        <w:spacing w:after="120" w:line="240" w:lineRule="exact"/>
        <w:jc w:val="both"/>
        <w:rPr>
          <w:rFonts w:ascii="Times New Roman" w:eastAsia="Times New Roman" w:hAnsi="Times New Roman" w:cs="Times New Roman"/>
          <w:i/>
          <w:sz w:val="20"/>
          <w:szCs w:val="20"/>
          <w:lang w:val="en-GB" w:eastAsia="it-IT"/>
        </w:rPr>
      </w:pPr>
    </w:p>
    <w:p w14:paraId="357E292A" w14:textId="77777777" w:rsidR="00A5145F" w:rsidRPr="00EF07E4" w:rsidRDefault="00A5145F" w:rsidP="00A5145F">
      <w:pPr>
        <w:tabs>
          <w:tab w:val="left" w:pos="284"/>
        </w:tabs>
        <w:spacing w:after="120" w:line="240" w:lineRule="exact"/>
        <w:jc w:val="both"/>
        <w:rPr>
          <w:rFonts w:ascii="Times New Roman" w:eastAsia="Times New Roman" w:hAnsi="Times New Roman" w:cs="Times New Roman"/>
          <w:i/>
          <w:sz w:val="20"/>
          <w:szCs w:val="20"/>
          <w:lang w:val="en-GB" w:eastAsia="it-IT"/>
        </w:rPr>
      </w:pPr>
      <w:r>
        <w:rPr>
          <w:rFonts w:ascii="Times New Roman" w:eastAsia="Times New Roman" w:hAnsi="Times New Roman" w:cs="Times New Roman"/>
          <w:i/>
          <w:sz w:val="20"/>
          <w:szCs w:val="20"/>
          <w:lang w:val="en-GB" w:eastAsia="it-IT"/>
        </w:rPr>
        <w:t>Intended learning outcomes</w:t>
      </w:r>
    </w:p>
    <w:p w14:paraId="43FE0CB8" w14:textId="77777777" w:rsidR="00A5145F" w:rsidRPr="00EF07E4" w:rsidRDefault="00A5145F" w:rsidP="00A5145F">
      <w:pPr>
        <w:autoSpaceDE w:val="0"/>
        <w:autoSpaceDN w:val="0"/>
        <w:adjustRightInd w:val="0"/>
        <w:spacing w:after="120" w:line="240" w:lineRule="auto"/>
        <w:jc w:val="both"/>
        <w:rPr>
          <w:rFonts w:ascii="Times New Roman" w:eastAsia="Times New Roman" w:hAnsi="Times New Roman" w:cs="Times New Roman"/>
          <w:i/>
          <w:sz w:val="20"/>
          <w:szCs w:val="20"/>
          <w:lang w:val="en-GB" w:eastAsia="it-IT"/>
        </w:rPr>
      </w:pPr>
      <w:r>
        <w:rPr>
          <w:rFonts w:ascii="Times New Roman" w:eastAsia="Times New Roman" w:hAnsi="Times New Roman" w:cs="Times New Roman"/>
          <w:i/>
          <w:sz w:val="20"/>
          <w:szCs w:val="20"/>
          <w:lang w:val="en-GB" w:eastAsia="it-IT"/>
        </w:rPr>
        <w:t>Knowledge and understanding</w:t>
      </w:r>
      <w:r w:rsidRPr="00EF07E4">
        <w:rPr>
          <w:rFonts w:ascii="Times New Roman" w:eastAsia="Times New Roman" w:hAnsi="Times New Roman" w:cs="Times New Roman"/>
          <w:i/>
          <w:sz w:val="20"/>
          <w:szCs w:val="20"/>
          <w:lang w:val="en-GB" w:eastAsia="it-IT"/>
        </w:rPr>
        <w:t xml:space="preserve"> </w:t>
      </w:r>
    </w:p>
    <w:p w14:paraId="043ACE3B" w14:textId="77777777" w:rsidR="00A5145F" w:rsidRPr="00EF07E4" w:rsidRDefault="00A5145F" w:rsidP="00A5145F">
      <w:pPr>
        <w:autoSpaceDE w:val="0"/>
        <w:autoSpaceDN w:val="0"/>
        <w:adjustRightInd w:val="0"/>
        <w:spacing w:after="120" w:line="240" w:lineRule="auto"/>
        <w:jc w:val="both"/>
        <w:rPr>
          <w:rFonts w:ascii="Times New Roman" w:eastAsia="Times New Roman" w:hAnsi="Times New Roman" w:cs="Times New Roman"/>
          <w:sz w:val="20"/>
          <w:szCs w:val="20"/>
          <w:lang w:val="en-GB" w:eastAsia="it-IT"/>
        </w:rPr>
      </w:pPr>
      <w:r w:rsidRPr="00682891">
        <w:rPr>
          <w:rFonts w:ascii="Times New Roman" w:eastAsia="Times New Roman" w:hAnsi="Times New Roman" w:cs="Times New Roman"/>
          <w:sz w:val="20"/>
          <w:szCs w:val="20"/>
          <w:lang w:val="en-GB" w:eastAsia="it-IT"/>
        </w:rPr>
        <w:lastRenderedPageBreak/>
        <w:t>At the end of the course</w:t>
      </w:r>
      <w:r>
        <w:rPr>
          <w:rFonts w:ascii="Times New Roman" w:eastAsia="Times New Roman" w:hAnsi="Times New Roman" w:cs="Times New Roman"/>
          <w:sz w:val="20"/>
          <w:szCs w:val="20"/>
          <w:lang w:val="en-GB" w:eastAsia="it-IT"/>
        </w:rPr>
        <w:t xml:space="preserve">, </w:t>
      </w:r>
      <w:r w:rsidRPr="00682891">
        <w:rPr>
          <w:rFonts w:ascii="Times New Roman" w:eastAsia="Times New Roman" w:hAnsi="Times New Roman" w:cs="Times New Roman"/>
          <w:sz w:val="20"/>
          <w:szCs w:val="20"/>
          <w:lang w:val="en-GB" w:eastAsia="it-IT"/>
        </w:rPr>
        <w:t>student</w:t>
      </w:r>
      <w:r>
        <w:rPr>
          <w:rFonts w:ascii="Times New Roman" w:eastAsia="Times New Roman" w:hAnsi="Times New Roman" w:cs="Times New Roman"/>
          <w:sz w:val="20"/>
          <w:szCs w:val="20"/>
          <w:lang w:val="en-GB" w:eastAsia="it-IT"/>
        </w:rPr>
        <w:t>s</w:t>
      </w:r>
      <w:r w:rsidRPr="00682891">
        <w:rPr>
          <w:rFonts w:ascii="Times New Roman" w:eastAsia="Times New Roman" w:hAnsi="Times New Roman" w:cs="Times New Roman"/>
          <w:sz w:val="20"/>
          <w:szCs w:val="20"/>
          <w:lang w:val="en-GB" w:eastAsia="it-IT"/>
        </w:rPr>
        <w:t xml:space="preserve"> will be able to</w:t>
      </w:r>
      <w:r w:rsidRPr="00EF07E4">
        <w:rPr>
          <w:rFonts w:ascii="Times New Roman" w:eastAsia="Times New Roman" w:hAnsi="Times New Roman" w:cs="Times New Roman"/>
          <w:sz w:val="20"/>
          <w:szCs w:val="20"/>
          <w:lang w:val="en-GB" w:eastAsia="it-IT"/>
        </w:rPr>
        <w:t>:</w:t>
      </w:r>
    </w:p>
    <w:p w14:paraId="5F0669AD" w14:textId="77777777" w:rsidR="00A5145F" w:rsidRPr="00EF07E4" w:rsidRDefault="00A5145F" w:rsidP="00A5145F">
      <w:pPr>
        <w:numPr>
          <w:ilvl w:val="0"/>
          <w:numId w:val="3"/>
        </w:numPr>
        <w:tabs>
          <w:tab w:val="left" w:pos="284"/>
        </w:tabs>
        <w:spacing w:after="120" w:line="240" w:lineRule="exact"/>
        <w:ind w:left="714" w:hanging="357"/>
        <w:jc w:val="both"/>
        <w:rPr>
          <w:rFonts w:ascii="Times New Roman" w:eastAsia="Times New Roman" w:hAnsi="Times New Roman" w:cs="Times New Roman"/>
          <w:sz w:val="20"/>
          <w:szCs w:val="20"/>
          <w:lang w:val="en-GB" w:eastAsia="it-IT"/>
        </w:rPr>
      </w:pPr>
      <w:r w:rsidRPr="00682891">
        <w:rPr>
          <w:rFonts w:ascii="Times New Roman" w:eastAsia="Times New Roman" w:hAnsi="Times New Roman" w:cs="Times New Roman"/>
          <w:sz w:val="20"/>
          <w:szCs w:val="20"/>
          <w:lang w:val="en-GB" w:eastAsia="it-IT"/>
        </w:rPr>
        <w:t xml:space="preserve">Understand the theoretical </w:t>
      </w:r>
      <w:r>
        <w:rPr>
          <w:rFonts w:ascii="Times New Roman" w:eastAsia="Times New Roman" w:hAnsi="Times New Roman" w:cs="Times New Roman"/>
          <w:sz w:val="20"/>
          <w:szCs w:val="20"/>
          <w:lang w:val="en-GB" w:eastAsia="it-IT"/>
        </w:rPr>
        <w:t>reasons</w:t>
      </w:r>
      <w:r w:rsidRPr="00682891">
        <w:rPr>
          <w:rFonts w:ascii="Times New Roman" w:eastAsia="Times New Roman" w:hAnsi="Times New Roman" w:cs="Times New Roman"/>
          <w:sz w:val="20"/>
          <w:szCs w:val="20"/>
          <w:lang w:val="en-GB" w:eastAsia="it-IT"/>
        </w:rPr>
        <w:t xml:space="preserve"> that motivate European policies (</w:t>
      </w:r>
      <w:r>
        <w:rPr>
          <w:rFonts w:ascii="Times New Roman" w:eastAsia="Times New Roman" w:hAnsi="Times New Roman" w:cs="Times New Roman"/>
          <w:sz w:val="20"/>
          <w:szCs w:val="20"/>
          <w:lang w:val="en-GB" w:eastAsia="it-IT"/>
        </w:rPr>
        <w:t>goal</w:t>
      </w:r>
      <w:r w:rsidRPr="00682891">
        <w:rPr>
          <w:rFonts w:ascii="Times New Roman" w:eastAsia="Times New Roman" w:hAnsi="Times New Roman" w:cs="Times New Roman"/>
          <w:sz w:val="20"/>
          <w:szCs w:val="20"/>
          <w:lang w:val="en-GB" w:eastAsia="it-IT"/>
        </w:rPr>
        <w:t xml:space="preserve"> 1);</w:t>
      </w:r>
    </w:p>
    <w:p w14:paraId="1410ED30" w14:textId="77777777" w:rsidR="00A5145F" w:rsidRPr="00EF07E4" w:rsidRDefault="00A5145F" w:rsidP="00A5145F">
      <w:pPr>
        <w:numPr>
          <w:ilvl w:val="0"/>
          <w:numId w:val="3"/>
        </w:numPr>
        <w:tabs>
          <w:tab w:val="left" w:pos="284"/>
        </w:tabs>
        <w:spacing w:after="120" w:line="240" w:lineRule="exact"/>
        <w:ind w:left="714" w:hanging="357"/>
        <w:jc w:val="both"/>
        <w:rPr>
          <w:rFonts w:ascii="Times New Roman" w:eastAsia="Times New Roman" w:hAnsi="Times New Roman" w:cs="Times New Roman"/>
          <w:sz w:val="20"/>
          <w:szCs w:val="20"/>
          <w:lang w:val="en-GB" w:eastAsia="it-IT"/>
        </w:rPr>
      </w:pPr>
      <w:r w:rsidRPr="00682891">
        <w:rPr>
          <w:rFonts w:ascii="Times New Roman" w:eastAsia="Times New Roman" w:hAnsi="Times New Roman" w:cs="Times New Roman"/>
          <w:sz w:val="20"/>
          <w:szCs w:val="20"/>
          <w:lang w:val="en-GB" w:eastAsia="it-IT"/>
        </w:rPr>
        <w:t>Understand the approach based on the concept of sustainability (</w:t>
      </w:r>
      <w:r>
        <w:rPr>
          <w:rFonts w:ascii="Times New Roman" w:eastAsia="Times New Roman" w:hAnsi="Times New Roman" w:cs="Times New Roman"/>
          <w:sz w:val="20"/>
          <w:szCs w:val="20"/>
          <w:lang w:val="en-GB" w:eastAsia="it-IT"/>
        </w:rPr>
        <w:t>according to</w:t>
      </w:r>
      <w:r w:rsidRPr="00682891">
        <w:rPr>
          <w:rFonts w:ascii="Times New Roman" w:eastAsia="Times New Roman" w:hAnsi="Times New Roman" w:cs="Times New Roman"/>
          <w:sz w:val="20"/>
          <w:szCs w:val="20"/>
          <w:lang w:val="en-GB" w:eastAsia="it-IT"/>
        </w:rPr>
        <w:t xml:space="preserve"> the SDGs) in economic policies (</w:t>
      </w:r>
      <w:r>
        <w:rPr>
          <w:rFonts w:ascii="Times New Roman" w:eastAsia="Times New Roman" w:hAnsi="Times New Roman" w:cs="Times New Roman"/>
          <w:sz w:val="20"/>
          <w:szCs w:val="20"/>
          <w:lang w:val="en-GB" w:eastAsia="it-IT"/>
        </w:rPr>
        <w:t>goal</w:t>
      </w:r>
      <w:r w:rsidRPr="00682891">
        <w:rPr>
          <w:rFonts w:ascii="Times New Roman" w:eastAsia="Times New Roman" w:hAnsi="Times New Roman" w:cs="Times New Roman"/>
          <w:sz w:val="20"/>
          <w:szCs w:val="20"/>
          <w:lang w:val="en-GB" w:eastAsia="it-IT"/>
        </w:rPr>
        <w:t xml:space="preserve"> 2);</w:t>
      </w:r>
    </w:p>
    <w:p w14:paraId="68680E05" w14:textId="77777777" w:rsidR="00A5145F" w:rsidRPr="00EF07E4" w:rsidRDefault="00A5145F" w:rsidP="00A5145F">
      <w:pPr>
        <w:numPr>
          <w:ilvl w:val="0"/>
          <w:numId w:val="3"/>
        </w:numPr>
        <w:tabs>
          <w:tab w:val="left" w:pos="284"/>
        </w:tabs>
        <w:spacing w:after="120" w:line="240" w:lineRule="exact"/>
        <w:ind w:left="714" w:hanging="357"/>
        <w:jc w:val="both"/>
        <w:rPr>
          <w:rFonts w:ascii="Times New Roman" w:eastAsia="Times New Roman" w:hAnsi="Times New Roman" w:cs="Times New Roman"/>
          <w:sz w:val="20"/>
          <w:szCs w:val="20"/>
          <w:lang w:val="en-GB" w:eastAsia="it-IT"/>
        </w:rPr>
      </w:pPr>
      <w:r w:rsidRPr="00682891">
        <w:rPr>
          <w:rFonts w:ascii="Times New Roman" w:eastAsia="Times New Roman" w:hAnsi="Times New Roman" w:cs="Times New Roman"/>
          <w:sz w:val="20"/>
          <w:szCs w:val="20"/>
          <w:lang w:val="en-GB" w:eastAsia="it-IT"/>
        </w:rPr>
        <w:t>Know the basic concepts of circular economy models (</w:t>
      </w:r>
      <w:r>
        <w:rPr>
          <w:rFonts w:ascii="Times New Roman" w:eastAsia="Times New Roman" w:hAnsi="Times New Roman" w:cs="Times New Roman"/>
          <w:sz w:val="20"/>
          <w:szCs w:val="20"/>
          <w:lang w:val="en-GB" w:eastAsia="it-IT"/>
        </w:rPr>
        <w:t>goal</w:t>
      </w:r>
      <w:r w:rsidRPr="00682891">
        <w:rPr>
          <w:rFonts w:ascii="Times New Roman" w:eastAsia="Times New Roman" w:hAnsi="Times New Roman" w:cs="Times New Roman"/>
          <w:sz w:val="20"/>
          <w:szCs w:val="20"/>
          <w:lang w:val="en-GB" w:eastAsia="it-IT"/>
        </w:rPr>
        <w:t xml:space="preserve"> 3);</w:t>
      </w:r>
    </w:p>
    <w:p w14:paraId="7AEECFDF" w14:textId="77777777" w:rsidR="00A5145F" w:rsidRPr="00EF07E4" w:rsidRDefault="00A5145F" w:rsidP="00A5145F">
      <w:pPr>
        <w:numPr>
          <w:ilvl w:val="0"/>
          <w:numId w:val="3"/>
        </w:numPr>
        <w:tabs>
          <w:tab w:val="left" w:pos="284"/>
        </w:tabs>
        <w:spacing w:after="120" w:line="240" w:lineRule="exact"/>
        <w:ind w:left="714" w:hanging="357"/>
        <w:jc w:val="both"/>
        <w:rPr>
          <w:rFonts w:ascii="Times New Roman" w:eastAsia="Times New Roman" w:hAnsi="Times New Roman" w:cs="Times New Roman"/>
          <w:sz w:val="20"/>
          <w:szCs w:val="20"/>
          <w:lang w:val="en-GB" w:eastAsia="it-IT"/>
        </w:rPr>
      </w:pPr>
      <w:r w:rsidRPr="00197864">
        <w:rPr>
          <w:rFonts w:ascii="Times New Roman" w:eastAsia="Times New Roman" w:hAnsi="Times New Roman" w:cs="Times New Roman"/>
          <w:sz w:val="20"/>
          <w:szCs w:val="20"/>
          <w:lang w:val="en-GB" w:eastAsia="it-IT"/>
        </w:rPr>
        <w:t>Implement an in-depth analysis on the impacts of circular economy models (</w:t>
      </w:r>
      <w:r>
        <w:rPr>
          <w:rFonts w:ascii="Times New Roman" w:eastAsia="Times New Roman" w:hAnsi="Times New Roman" w:cs="Times New Roman"/>
          <w:sz w:val="20"/>
          <w:szCs w:val="20"/>
          <w:lang w:val="en-GB" w:eastAsia="it-IT"/>
        </w:rPr>
        <w:t>goal</w:t>
      </w:r>
      <w:r w:rsidRPr="00197864">
        <w:rPr>
          <w:rFonts w:ascii="Times New Roman" w:eastAsia="Times New Roman" w:hAnsi="Times New Roman" w:cs="Times New Roman"/>
          <w:sz w:val="20"/>
          <w:szCs w:val="20"/>
          <w:lang w:val="en-GB" w:eastAsia="it-IT"/>
        </w:rPr>
        <w:t xml:space="preserve"> 4);</w:t>
      </w:r>
    </w:p>
    <w:p w14:paraId="36A99A18" w14:textId="77777777" w:rsidR="00A5145F" w:rsidRPr="00EF07E4" w:rsidRDefault="00A5145F" w:rsidP="00A5145F">
      <w:pPr>
        <w:tabs>
          <w:tab w:val="left" w:pos="284"/>
        </w:tabs>
        <w:spacing w:after="120" w:line="240" w:lineRule="exact"/>
        <w:jc w:val="both"/>
        <w:rPr>
          <w:rFonts w:ascii="Times New Roman" w:eastAsia="Times New Roman" w:hAnsi="Times New Roman" w:cs="Times New Roman"/>
          <w:i/>
          <w:sz w:val="20"/>
          <w:szCs w:val="20"/>
          <w:lang w:val="en-GB" w:eastAsia="it-IT"/>
        </w:rPr>
      </w:pPr>
      <w:r>
        <w:rPr>
          <w:rFonts w:ascii="Times New Roman" w:eastAsia="Times New Roman" w:hAnsi="Times New Roman" w:cs="Times New Roman"/>
          <w:i/>
          <w:sz w:val="20"/>
          <w:szCs w:val="20"/>
          <w:lang w:val="en-GB" w:eastAsia="it-IT"/>
        </w:rPr>
        <w:t xml:space="preserve">Ability to apply knowledge and understanding </w:t>
      </w:r>
    </w:p>
    <w:p w14:paraId="23895CC4" w14:textId="77777777" w:rsidR="00A5145F" w:rsidRPr="00EF07E4" w:rsidRDefault="00A5145F" w:rsidP="00A5145F">
      <w:pPr>
        <w:numPr>
          <w:ilvl w:val="0"/>
          <w:numId w:val="3"/>
        </w:numPr>
        <w:tabs>
          <w:tab w:val="left" w:pos="284"/>
        </w:tabs>
        <w:spacing w:after="120" w:line="240" w:lineRule="exact"/>
        <w:ind w:left="714" w:hanging="357"/>
        <w:jc w:val="both"/>
        <w:rPr>
          <w:rFonts w:ascii="Times New Roman" w:eastAsia="Times New Roman" w:hAnsi="Times New Roman" w:cs="Times New Roman"/>
          <w:sz w:val="20"/>
          <w:szCs w:val="20"/>
          <w:lang w:val="en-GB" w:eastAsia="it-IT"/>
        </w:rPr>
      </w:pPr>
      <w:r w:rsidRPr="00197864">
        <w:rPr>
          <w:rFonts w:ascii="Times New Roman" w:eastAsia="Times New Roman" w:hAnsi="Times New Roman" w:cs="Times New Roman"/>
          <w:sz w:val="20"/>
          <w:szCs w:val="20"/>
          <w:lang w:val="en-GB" w:eastAsia="it-IT"/>
        </w:rPr>
        <w:t xml:space="preserve">Ability to develop applied </w:t>
      </w:r>
      <w:r>
        <w:rPr>
          <w:rFonts w:ascii="Times New Roman" w:eastAsia="Times New Roman" w:hAnsi="Times New Roman" w:cs="Times New Roman"/>
          <w:sz w:val="20"/>
          <w:szCs w:val="20"/>
          <w:lang w:val="en-GB" w:eastAsia="it-IT"/>
        </w:rPr>
        <w:t>competences</w:t>
      </w:r>
      <w:r w:rsidRPr="00197864">
        <w:rPr>
          <w:rFonts w:ascii="Times New Roman" w:eastAsia="Times New Roman" w:hAnsi="Times New Roman" w:cs="Times New Roman"/>
          <w:sz w:val="20"/>
          <w:szCs w:val="20"/>
          <w:lang w:val="en-GB" w:eastAsia="it-IT"/>
        </w:rPr>
        <w:t xml:space="preserve"> on European program</w:t>
      </w:r>
      <w:r>
        <w:rPr>
          <w:rFonts w:ascii="Times New Roman" w:eastAsia="Times New Roman" w:hAnsi="Times New Roman" w:cs="Times New Roman"/>
          <w:sz w:val="20"/>
          <w:szCs w:val="20"/>
          <w:lang w:val="en-GB" w:eastAsia="it-IT"/>
        </w:rPr>
        <w:t>me</w:t>
      </w:r>
      <w:r w:rsidRPr="00197864">
        <w:rPr>
          <w:rFonts w:ascii="Times New Roman" w:eastAsia="Times New Roman" w:hAnsi="Times New Roman" w:cs="Times New Roman"/>
          <w:sz w:val="20"/>
          <w:szCs w:val="20"/>
          <w:lang w:val="en-GB" w:eastAsia="it-IT"/>
        </w:rPr>
        <w:t>s (</w:t>
      </w:r>
      <w:r>
        <w:rPr>
          <w:rFonts w:ascii="Times New Roman" w:eastAsia="Times New Roman" w:hAnsi="Times New Roman" w:cs="Times New Roman"/>
          <w:sz w:val="20"/>
          <w:szCs w:val="20"/>
          <w:lang w:val="en-GB" w:eastAsia="it-IT"/>
        </w:rPr>
        <w:t>goal</w:t>
      </w:r>
      <w:r w:rsidRPr="00197864">
        <w:rPr>
          <w:rFonts w:ascii="Times New Roman" w:eastAsia="Times New Roman" w:hAnsi="Times New Roman" w:cs="Times New Roman"/>
          <w:sz w:val="20"/>
          <w:szCs w:val="20"/>
          <w:lang w:val="en-GB" w:eastAsia="it-IT"/>
        </w:rPr>
        <w:t xml:space="preserve"> 5);</w:t>
      </w:r>
    </w:p>
    <w:p w14:paraId="67B8A112" w14:textId="77777777" w:rsidR="00A5145F" w:rsidRPr="00EF07E4" w:rsidRDefault="00A5145F" w:rsidP="00A5145F">
      <w:pPr>
        <w:numPr>
          <w:ilvl w:val="0"/>
          <w:numId w:val="3"/>
        </w:numPr>
        <w:tabs>
          <w:tab w:val="left" w:pos="284"/>
        </w:tabs>
        <w:spacing w:after="120" w:line="240" w:lineRule="exact"/>
        <w:ind w:left="714" w:hanging="357"/>
        <w:jc w:val="both"/>
        <w:rPr>
          <w:rFonts w:ascii="Times New Roman" w:eastAsia="Times New Roman" w:hAnsi="Times New Roman" w:cs="Times New Roman"/>
          <w:sz w:val="20"/>
          <w:szCs w:val="20"/>
          <w:lang w:val="en-GB" w:eastAsia="it-IT"/>
        </w:rPr>
      </w:pPr>
      <w:r w:rsidRPr="00197864">
        <w:rPr>
          <w:rFonts w:ascii="Times New Roman" w:eastAsia="Times New Roman" w:hAnsi="Times New Roman" w:cs="Times New Roman"/>
          <w:sz w:val="20"/>
          <w:szCs w:val="20"/>
          <w:lang w:val="en-GB" w:eastAsia="it-IT"/>
        </w:rPr>
        <w:t xml:space="preserve">Propose </w:t>
      </w:r>
      <w:r>
        <w:rPr>
          <w:rFonts w:ascii="Times New Roman" w:eastAsia="Times New Roman" w:hAnsi="Times New Roman" w:cs="Times New Roman"/>
          <w:sz w:val="20"/>
          <w:szCs w:val="20"/>
          <w:lang w:val="en-GB" w:eastAsia="it-IT"/>
        </w:rPr>
        <w:t>planning</w:t>
      </w:r>
      <w:r w:rsidRPr="00197864">
        <w:rPr>
          <w:rFonts w:ascii="Times New Roman" w:eastAsia="Times New Roman" w:hAnsi="Times New Roman" w:cs="Times New Roman"/>
          <w:sz w:val="20"/>
          <w:szCs w:val="20"/>
          <w:lang w:val="en-GB" w:eastAsia="it-IT"/>
        </w:rPr>
        <w:t xml:space="preserve"> changes in economic policies, especially those aimed at businesses (</w:t>
      </w:r>
      <w:r>
        <w:rPr>
          <w:rFonts w:ascii="Times New Roman" w:eastAsia="Times New Roman" w:hAnsi="Times New Roman" w:cs="Times New Roman"/>
          <w:sz w:val="20"/>
          <w:szCs w:val="20"/>
          <w:lang w:val="en-GB" w:eastAsia="it-IT"/>
        </w:rPr>
        <w:t>goal</w:t>
      </w:r>
      <w:r w:rsidRPr="00197864">
        <w:rPr>
          <w:rFonts w:ascii="Times New Roman" w:eastAsia="Times New Roman" w:hAnsi="Times New Roman" w:cs="Times New Roman"/>
          <w:sz w:val="20"/>
          <w:szCs w:val="20"/>
          <w:lang w:val="en-GB" w:eastAsia="it-IT"/>
        </w:rPr>
        <w:t xml:space="preserve"> 6);</w:t>
      </w:r>
    </w:p>
    <w:p w14:paraId="31080F86" w14:textId="77777777" w:rsidR="00A5145F" w:rsidRPr="00EF07E4" w:rsidRDefault="00A5145F" w:rsidP="00A5145F">
      <w:pPr>
        <w:numPr>
          <w:ilvl w:val="0"/>
          <w:numId w:val="3"/>
        </w:numPr>
        <w:tabs>
          <w:tab w:val="left" w:pos="284"/>
        </w:tabs>
        <w:spacing w:after="120" w:line="240" w:lineRule="exact"/>
        <w:ind w:left="714" w:hanging="357"/>
        <w:jc w:val="both"/>
        <w:rPr>
          <w:rFonts w:ascii="Times New Roman" w:eastAsia="Times New Roman" w:hAnsi="Times New Roman" w:cs="Times New Roman"/>
          <w:sz w:val="20"/>
          <w:szCs w:val="20"/>
          <w:lang w:val="en-GB" w:eastAsia="it-IT"/>
        </w:rPr>
      </w:pPr>
      <w:r w:rsidRPr="00197864">
        <w:rPr>
          <w:rFonts w:ascii="Times New Roman" w:eastAsia="Times New Roman" w:hAnsi="Times New Roman" w:cs="Times New Roman"/>
          <w:sz w:val="20"/>
          <w:szCs w:val="20"/>
          <w:lang w:val="en-GB" w:eastAsia="it-IT"/>
        </w:rPr>
        <w:t>Ability to measure the circular economy (goal 7);</w:t>
      </w:r>
    </w:p>
    <w:p w14:paraId="1D48554F" w14:textId="77777777" w:rsidR="00A5145F" w:rsidRPr="00EF07E4" w:rsidRDefault="00A5145F" w:rsidP="00A5145F">
      <w:pPr>
        <w:numPr>
          <w:ilvl w:val="0"/>
          <w:numId w:val="3"/>
        </w:numPr>
        <w:tabs>
          <w:tab w:val="left" w:pos="284"/>
        </w:tabs>
        <w:spacing w:after="120" w:line="240" w:lineRule="exact"/>
        <w:ind w:left="714" w:hanging="357"/>
        <w:jc w:val="both"/>
        <w:rPr>
          <w:rFonts w:ascii="Times New Roman" w:eastAsia="Times New Roman" w:hAnsi="Times New Roman" w:cs="Times New Roman"/>
          <w:sz w:val="20"/>
          <w:szCs w:val="20"/>
          <w:lang w:val="en-GB" w:eastAsia="it-IT"/>
        </w:rPr>
      </w:pPr>
      <w:r w:rsidRPr="00197864">
        <w:rPr>
          <w:rFonts w:ascii="Times New Roman" w:eastAsia="Times New Roman" w:hAnsi="Times New Roman" w:cs="Times New Roman"/>
          <w:sz w:val="20"/>
          <w:szCs w:val="20"/>
          <w:lang w:val="en-GB" w:eastAsia="it-IT"/>
        </w:rPr>
        <w:t>Ability to put circular economy models into an operational relationship with innovation in companies (</w:t>
      </w:r>
      <w:r>
        <w:rPr>
          <w:rFonts w:ascii="Times New Roman" w:eastAsia="Times New Roman" w:hAnsi="Times New Roman" w:cs="Times New Roman"/>
          <w:sz w:val="20"/>
          <w:szCs w:val="20"/>
          <w:lang w:val="en-GB" w:eastAsia="it-IT"/>
        </w:rPr>
        <w:t>goal</w:t>
      </w:r>
      <w:r w:rsidRPr="00197864">
        <w:rPr>
          <w:rFonts w:ascii="Times New Roman" w:eastAsia="Times New Roman" w:hAnsi="Times New Roman" w:cs="Times New Roman"/>
          <w:sz w:val="20"/>
          <w:szCs w:val="20"/>
          <w:lang w:val="en-GB" w:eastAsia="it-IT"/>
        </w:rPr>
        <w:t xml:space="preserve"> 8).</w:t>
      </w:r>
    </w:p>
    <w:p w14:paraId="7AFD7211" w14:textId="77777777" w:rsidR="00A5145F" w:rsidRPr="00EF07E4" w:rsidRDefault="00A5145F" w:rsidP="00A5145F">
      <w:pPr>
        <w:tabs>
          <w:tab w:val="left" w:pos="284"/>
        </w:tabs>
        <w:spacing w:after="120" w:line="240" w:lineRule="exact"/>
        <w:jc w:val="both"/>
        <w:rPr>
          <w:rFonts w:ascii="Times New Roman" w:eastAsia="Times New Roman" w:hAnsi="Times New Roman" w:cs="Times New Roman"/>
          <w:sz w:val="20"/>
          <w:szCs w:val="20"/>
          <w:lang w:val="en-GB" w:eastAsia="it-IT"/>
        </w:rPr>
      </w:pPr>
      <w:r w:rsidRPr="005D41D8">
        <w:rPr>
          <w:rFonts w:ascii="Times New Roman" w:eastAsia="Times New Roman" w:hAnsi="Times New Roman" w:cs="Times New Roman"/>
          <w:sz w:val="20"/>
          <w:szCs w:val="20"/>
          <w:lang w:val="en-GB" w:eastAsia="it-IT"/>
        </w:rPr>
        <w:t xml:space="preserve">As part of the course, the student's ability to learn the structure of policies and to evaluate their impact will be promoted, aiming to </w:t>
      </w:r>
      <w:r>
        <w:rPr>
          <w:rFonts w:ascii="Times New Roman" w:eastAsia="Times New Roman" w:hAnsi="Times New Roman" w:cs="Times New Roman"/>
          <w:sz w:val="20"/>
          <w:szCs w:val="20"/>
          <w:lang w:val="en-GB" w:eastAsia="it-IT"/>
        </w:rPr>
        <w:t>encourage</w:t>
      </w:r>
      <w:r w:rsidRPr="005D41D8">
        <w:rPr>
          <w:rFonts w:ascii="Times New Roman" w:eastAsia="Times New Roman" w:hAnsi="Times New Roman" w:cs="Times New Roman"/>
          <w:sz w:val="20"/>
          <w:szCs w:val="20"/>
          <w:lang w:val="en-GB" w:eastAsia="it-IT"/>
        </w:rPr>
        <w:t xml:space="preserve"> their own independent judgment</w:t>
      </w:r>
      <w:r>
        <w:rPr>
          <w:rFonts w:ascii="Times New Roman" w:eastAsia="Times New Roman" w:hAnsi="Times New Roman" w:cs="Times New Roman"/>
          <w:sz w:val="20"/>
          <w:szCs w:val="20"/>
          <w:lang w:val="en-GB" w:eastAsia="it-IT"/>
        </w:rPr>
        <w:t>,</w:t>
      </w:r>
      <w:r w:rsidRPr="005D41D8">
        <w:rPr>
          <w:rFonts w:ascii="Times New Roman" w:eastAsia="Times New Roman" w:hAnsi="Times New Roman" w:cs="Times New Roman"/>
          <w:sz w:val="20"/>
          <w:szCs w:val="20"/>
          <w:lang w:val="en-GB" w:eastAsia="it-IT"/>
        </w:rPr>
        <w:t xml:space="preserve"> and significantly </w:t>
      </w:r>
      <w:r>
        <w:rPr>
          <w:rFonts w:ascii="Times New Roman" w:eastAsia="Times New Roman" w:hAnsi="Times New Roman" w:cs="Times New Roman"/>
          <w:sz w:val="20"/>
          <w:szCs w:val="20"/>
          <w:lang w:val="en-GB" w:eastAsia="it-IT"/>
        </w:rPr>
        <w:t>supporting</w:t>
      </w:r>
      <w:r w:rsidRPr="005D41D8">
        <w:rPr>
          <w:rFonts w:ascii="Times New Roman" w:eastAsia="Times New Roman" w:hAnsi="Times New Roman" w:cs="Times New Roman"/>
          <w:sz w:val="20"/>
          <w:szCs w:val="20"/>
          <w:lang w:val="en-GB" w:eastAsia="it-IT"/>
        </w:rPr>
        <w:t xml:space="preserve"> the</w:t>
      </w:r>
      <w:r>
        <w:rPr>
          <w:rFonts w:ascii="Times New Roman" w:eastAsia="Times New Roman" w:hAnsi="Times New Roman" w:cs="Times New Roman"/>
          <w:sz w:val="20"/>
          <w:szCs w:val="20"/>
          <w:lang w:val="en-GB" w:eastAsia="it-IT"/>
        </w:rPr>
        <w:t>ir</w:t>
      </w:r>
      <w:r w:rsidRPr="005D41D8">
        <w:rPr>
          <w:rFonts w:ascii="Times New Roman" w:eastAsia="Times New Roman" w:hAnsi="Times New Roman" w:cs="Times New Roman"/>
          <w:sz w:val="20"/>
          <w:szCs w:val="20"/>
          <w:lang w:val="en-GB" w:eastAsia="it-IT"/>
        </w:rPr>
        <w:t xml:space="preserve"> ability to propose policy changes, also in light of the evaluation of the professional world.</w:t>
      </w:r>
      <w:r>
        <w:rPr>
          <w:rFonts w:ascii="Times New Roman" w:eastAsia="Times New Roman" w:hAnsi="Times New Roman" w:cs="Times New Roman"/>
          <w:sz w:val="20"/>
          <w:szCs w:val="20"/>
          <w:lang w:val="en-GB" w:eastAsia="it-IT"/>
        </w:rPr>
        <w:t xml:space="preserve"> </w:t>
      </w:r>
      <w:r w:rsidRPr="005D41D8">
        <w:rPr>
          <w:rFonts w:ascii="Times New Roman" w:eastAsia="Times New Roman" w:hAnsi="Times New Roman" w:cs="Times New Roman"/>
          <w:sz w:val="20"/>
          <w:szCs w:val="20"/>
          <w:lang w:val="en-GB" w:eastAsia="it-IT"/>
        </w:rPr>
        <w:t xml:space="preserve">The </w:t>
      </w:r>
      <w:r>
        <w:rPr>
          <w:rFonts w:ascii="Times New Roman" w:eastAsia="Times New Roman" w:hAnsi="Times New Roman" w:cs="Times New Roman"/>
          <w:sz w:val="20"/>
          <w:szCs w:val="20"/>
          <w:lang w:val="en-GB" w:eastAsia="it-IT"/>
        </w:rPr>
        <w:t>assessment</w:t>
      </w:r>
      <w:r w:rsidRPr="005D41D8">
        <w:rPr>
          <w:rFonts w:ascii="Times New Roman" w:eastAsia="Times New Roman" w:hAnsi="Times New Roman" w:cs="Times New Roman"/>
          <w:sz w:val="20"/>
          <w:szCs w:val="20"/>
          <w:lang w:val="en-GB" w:eastAsia="it-IT"/>
        </w:rPr>
        <w:t xml:space="preserve"> methods are </w:t>
      </w:r>
      <w:r>
        <w:rPr>
          <w:rFonts w:ascii="Times New Roman" w:eastAsia="Times New Roman" w:hAnsi="Times New Roman" w:cs="Times New Roman"/>
          <w:sz w:val="20"/>
          <w:szCs w:val="20"/>
          <w:lang w:val="en-GB" w:eastAsia="it-IT"/>
        </w:rPr>
        <w:t>designed for</w:t>
      </w:r>
      <w:r w:rsidRPr="005D41D8">
        <w:rPr>
          <w:rFonts w:ascii="Times New Roman" w:eastAsia="Times New Roman" w:hAnsi="Times New Roman" w:cs="Times New Roman"/>
          <w:sz w:val="20"/>
          <w:szCs w:val="20"/>
          <w:lang w:val="en-GB" w:eastAsia="it-IT"/>
        </w:rPr>
        <w:t xml:space="preserve"> stimulating communication skills in particular through the Hackathon path that </w:t>
      </w:r>
      <w:r>
        <w:rPr>
          <w:rFonts w:ascii="Times New Roman" w:eastAsia="Times New Roman" w:hAnsi="Times New Roman" w:cs="Times New Roman"/>
          <w:sz w:val="20"/>
          <w:szCs w:val="20"/>
          <w:lang w:val="en-GB" w:eastAsia="it-IT"/>
        </w:rPr>
        <w:t>relates</w:t>
      </w:r>
      <w:r w:rsidRPr="005D41D8">
        <w:rPr>
          <w:rFonts w:ascii="Times New Roman" w:eastAsia="Times New Roman" w:hAnsi="Times New Roman" w:cs="Times New Roman"/>
          <w:sz w:val="20"/>
          <w:szCs w:val="20"/>
          <w:lang w:val="en-GB" w:eastAsia="it-IT"/>
        </w:rPr>
        <w:t xml:space="preserve"> students with the professional world</w:t>
      </w:r>
      <w:r w:rsidRPr="00EF07E4">
        <w:rPr>
          <w:rFonts w:ascii="Times New Roman" w:eastAsia="Times New Roman" w:hAnsi="Times New Roman" w:cs="Times New Roman"/>
          <w:sz w:val="20"/>
          <w:szCs w:val="20"/>
          <w:lang w:val="en-GB" w:eastAsia="it-IT"/>
        </w:rPr>
        <w:t>.</w:t>
      </w:r>
    </w:p>
    <w:p w14:paraId="680DE31F" w14:textId="77777777" w:rsidR="00A5145F" w:rsidRPr="00EF07E4" w:rsidRDefault="00A5145F" w:rsidP="00A5145F">
      <w:pPr>
        <w:tabs>
          <w:tab w:val="left" w:pos="284"/>
        </w:tabs>
        <w:spacing w:before="240" w:after="120" w:line="240" w:lineRule="exact"/>
        <w:jc w:val="both"/>
        <w:rPr>
          <w:rFonts w:ascii="Times New Roman" w:eastAsia="Times New Roman" w:hAnsi="Times New Roman" w:cs="Times New Roman"/>
          <w:b/>
          <w:i/>
          <w:sz w:val="18"/>
          <w:szCs w:val="24"/>
          <w:lang w:val="en-GB" w:eastAsia="it-IT"/>
        </w:rPr>
      </w:pPr>
      <w:bookmarkStart w:id="1" w:name="_Hlk76557154"/>
      <w:r w:rsidRPr="00EF07E4">
        <w:rPr>
          <w:rFonts w:ascii="Times New Roman" w:eastAsia="Times New Roman" w:hAnsi="Times New Roman" w:cs="Times New Roman"/>
          <w:b/>
          <w:i/>
          <w:sz w:val="18"/>
          <w:szCs w:val="24"/>
          <w:lang w:val="en-GB" w:eastAsia="it-IT"/>
        </w:rPr>
        <w:t>COURSE CONTENT</w:t>
      </w:r>
      <w:bookmarkEnd w:id="1"/>
    </w:p>
    <w:p w14:paraId="77CEFA4B" w14:textId="77777777" w:rsidR="00A5145F" w:rsidRPr="00EF07E4" w:rsidRDefault="00A5145F" w:rsidP="00A5145F">
      <w:pPr>
        <w:tabs>
          <w:tab w:val="left" w:pos="284"/>
        </w:tabs>
        <w:spacing w:after="0" w:line="240" w:lineRule="exact"/>
        <w:jc w:val="both"/>
        <w:rPr>
          <w:rFonts w:ascii="Times New Roman" w:eastAsia="Times New Roman" w:hAnsi="Times New Roman" w:cs="Times New Roman"/>
          <w:sz w:val="20"/>
          <w:szCs w:val="20"/>
          <w:lang w:val="en-GB" w:eastAsia="it-IT"/>
        </w:rPr>
      </w:pPr>
      <w:r w:rsidRPr="009508E9">
        <w:rPr>
          <w:rFonts w:ascii="Times New Roman" w:eastAsia="Times New Roman" w:hAnsi="Times New Roman" w:cs="Times New Roman"/>
          <w:sz w:val="20"/>
          <w:szCs w:val="20"/>
          <w:lang w:val="en-GB" w:eastAsia="it-IT"/>
        </w:rPr>
        <w:t>Presentation of the Course</w:t>
      </w:r>
    </w:p>
    <w:p w14:paraId="5A650DE0" w14:textId="77777777" w:rsidR="00A5145F" w:rsidRPr="00EF07E4" w:rsidRDefault="00A5145F" w:rsidP="00A5145F">
      <w:pPr>
        <w:spacing w:before="120" w:after="0" w:line="240" w:lineRule="exact"/>
        <w:jc w:val="both"/>
        <w:rPr>
          <w:rFonts w:ascii="Times New Roman" w:eastAsia="Times New Roman" w:hAnsi="Times New Roman" w:cs="Times New Roman"/>
          <w:sz w:val="20"/>
          <w:szCs w:val="20"/>
          <w:lang w:val="en-GB" w:eastAsia="it-IT"/>
        </w:rPr>
      </w:pPr>
      <w:r w:rsidRPr="00EF07E4">
        <w:rPr>
          <w:rFonts w:ascii="Times New Roman" w:eastAsia="Times New Roman" w:hAnsi="Times New Roman" w:cs="Times New Roman"/>
          <w:sz w:val="20"/>
          <w:szCs w:val="20"/>
          <w:lang w:val="en-GB" w:eastAsia="it-IT"/>
        </w:rPr>
        <w:t>Modul</w:t>
      </w:r>
      <w:r>
        <w:rPr>
          <w:rFonts w:ascii="Times New Roman" w:eastAsia="Times New Roman" w:hAnsi="Times New Roman" w:cs="Times New Roman"/>
          <w:sz w:val="20"/>
          <w:szCs w:val="20"/>
          <w:lang w:val="en-GB" w:eastAsia="it-IT"/>
        </w:rPr>
        <w:t>e</w:t>
      </w:r>
      <w:r w:rsidRPr="00EF07E4">
        <w:rPr>
          <w:rFonts w:ascii="Times New Roman" w:eastAsia="Times New Roman" w:hAnsi="Times New Roman" w:cs="Times New Roman"/>
          <w:sz w:val="20"/>
          <w:szCs w:val="20"/>
          <w:lang w:val="en-GB" w:eastAsia="it-IT"/>
        </w:rPr>
        <w:t xml:space="preserve"> 1 - </w:t>
      </w:r>
      <w:r w:rsidRPr="00EB3154">
        <w:rPr>
          <w:rFonts w:ascii="Times New Roman" w:eastAsia="Times New Roman" w:hAnsi="Times New Roman" w:cs="Times New Roman"/>
          <w:sz w:val="20"/>
          <w:szCs w:val="20"/>
          <w:lang w:val="en-GB" w:eastAsia="it-IT"/>
        </w:rPr>
        <w:t>European economic policy for sustainability</w:t>
      </w:r>
    </w:p>
    <w:p w14:paraId="71D22350" w14:textId="77777777" w:rsidR="00A5145F" w:rsidRPr="00EF07E4" w:rsidRDefault="00A5145F" w:rsidP="00A5145F">
      <w:pPr>
        <w:numPr>
          <w:ilvl w:val="1"/>
          <w:numId w:val="2"/>
        </w:numPr>
        <w:tabs>
          <w:tab w:val="left" w:pos="284"/>
        </w:tabs>
        <w:spacing w:before="120" w:after="0" w:line="240" w:lineRule="exact"/>
        <w:contextualSpacing/>
        <w:jc w:val="both"/>
        <w:rPr>
          <w:rFonts w:ascii="Times New Roman" w:eastAsia="Times" w:hAnsi="Times New Roman" w:cs="Times New Roman"/>
          <w:sz w:val="20"/>
          <w:szCs w:val="20"/>
          <w:lang w:val="en-GB" w:eastAsia="it-IT"/>
        </w:rPr>
      </w:pPr>
      <w:r w:rsidRPr="00EB3154">
        <w:rPr>
          <w:rFonts w:ascii="Times New Roman" w:eastAsia="Times New Roman" w:hAnsi="Times New Roman" w:cs="Times New Roman"/>
          <w:sz w:val="20"/>
          <w:szCs w:val="20"/>
          <w:lang w:val="en-GB" w:eastAsia="it-IT"/>
        </w:rPr>
        <w:t>Market failure and reasons for economic policy: the European perspective</w:t>
      </w:r>
    </w:p>
    <w:p w14:paraId="25A1A535" w14:textId="77777777" w:rsidR="00A5145F" w:rsidRPr="00EF07E4" w:rsidRDefault="00A5145F" w:rsidP="00A5145F">
      <w:pPr>
        <w:numPr>
          <w:ilvl w:val="1"/>
          <w:numId w:val="2"/>
        </w:numPr>
        <w:tabs>
          <w:tab w:val="left" w:pos="284"/>
        </w:tabs>
        <w:spacing w:after="0" w:line="240" w:lineRule="exact"/>
        <w:contextualSpacing/>
        <w:jc w:val="both"/>
        <w:rPr>
          <w:rFonts w:ascii="Times New Roman" w:eastAsia="Times New Roman" w:hAnsi="Times New Roman" w:cs="Times New Roman"/>
          <w:sz w:val="20"/>
          <w:szCs w:val="20"/>
          <w:lang w:val="en-GB" w:eastAsia="it-IT"/>
        </w:rPr>
      </w:pPr>
      <w:r w:rsidRPr="00EF07E4">
        <w:rPr>
          <w:rFonts w:ascii="Times New Roman" w:eastAsia="Times New Roman" w:hAnsi="Times New Roman" w:cs="Times New Roman"/>
          <w:sz w:val="20"/>
          <w:szCs w:val="20"/>
          <w:lang w:val="en-GB" w:eastAsia="it-IT"/>
        </w:rPr>
        <w:t xml:space="preserve"> </w:t>
      </w:r>
      <w:r w:rsidRPr="00EB3154">
        <w:rPr>
          <w:rFonts w:ascii="Times New Roman" w:eastAsia="Times New Roman" w:hAnsi="Times New Roman" w:cs="Times New Roman"/>
          <w:sz w:val="20"/>
          <w:szCs w:val="20"/>
          <w:lang w:val="en-GB" w:eastAsia="it-IT"/>
        </w:rPr>
        <w:t xml:space="preserve">The approach </w:t>
      </w:r>
      <w:r>
        <w:rPr>
          <w:rFonts w:ascii="Times New Roman" w:eastAsia="Times New Roman" w:hAnsi="Times New Roman" w:cs="Times New Roman"/>
          <w:sz w:val="20"/>
          <w:szCs w:val="20"/>
          <w:lang w:val="en-GB" w:eastAsia="it-IT"/>
        </w:rPr>
        <w:t xml:space="preserve">of the </w:t>
      </w:r>
      <w:r w:rsidRPr="00EB3154">
        <w:rPr>
          <w:rFonts w:ascii="Times New Roman" w:eastAsia="Times New Roman" w:hAnsi="Times New Roman" w:cs="Times New Roman"/>
          <w:sz w:val="20"/>
          <w:szCs w:val="20"/>
          <w:lang w:val="en-GB" w:eastAsia="it-IT"/>
        </w:rPr>
        <w:t>SDG</w:t>
      </w:r>
      <w:r>
        <w:rPr>
          <w:rFonts w:ascii="Times New Roman" w:eastAsia="Times New Roman" w:hAnsi="Times New Roman" w:cs="Times New Roman"/>
          <w:sz w:val="20"/>
          <w:szCs w:val="20"/>
          <w:lang w:val="en-GB" w:eastAsia="it-IT"/>
        </w:rPr>
        <w:t>s</w:t>
      </w:r>
      <w:r w:rsidRPr="00EB3154">
        <w:rPr>
          <w:rFonts w:ascii="Times New Roman" w:eastAsia="Times New Roman" w:hAnsi="Times New Roman" w:cs="Times New Roman"/>
          <w:sz w:val="20"/>
          <w:szCs w:val="20"/>
          <w:lang w:val="en-GB" w:eastAsia="it-IT"/>
        </w:rPr>
        <w:t xml:space="preserve"> Agenda 2030 and economic policies for sustainable development in Europe: </w:t>
      </w:r>
      <w:r>
        <w:rPr>
          <w:rFonts w:ascii="Times New Roman" w:eastAsia="Times New Roman" w:hAnsi="Times New Roman" w:cs="Times New Roman"/>
          <w:sz w:val="20"/>
          <w:szCs w:val="20"/>
          <w:lang w:val="en-GB" w:eastAsia="it-IT"/>
        </w:rPr>
        <w:t xml:space="preserve">the </w:t>
      </w:r>
      <w:r w:rsidRPr="00EB3154">
        <w:rPr>
          <w:rFonts w:ascii="Times New Roman" w:eastAsia="Times New Roman" w:hAnsi="Times New Roman" w:cs="Times New Roman"/>
          <w:sz w:val="20"/>
          <w:szCs w:val="20"/>
          <w:lang w:val="en-GB" w:eastAsia="it-IT"/>
        </w:rPr>
        <w:t xml:space="preserve">European Green Deal </w:t>
      </w:r>
    </w:p>
    <w:p w14:paraId="454BA085" w14:textId="77777777" w:rsidR="00A5145F" w:rsidRPr="00EF07E4" w:rsidRDefault="00A5145F" w:rsidP="00A5145F">
      <w:pPr>
        <w:numPr>
          <w:ilvl w:val="1"/>
          <w:numId w:val="2"/>
        </w:numPr>
        <w:tabs>
          <w:tab w:val="left" w:pos="284"/>
        </w:tabs>
        <w:spacing w:after="0" w:line="240" w:lineRule="exact"/>
        <w:contextualSpacing/>
        <w:jc w:val="both"/>
        <w:rPr>
          <w:rFonts w:ascii="Times New Roman" w:eastAsia="Times" w:hAnsi="Times New Roman" w:cs="Times New Roman"/>
          <w:sz w:val="20"/>
          <w:szCs w:val="20"/>
          <w:lang w:val="en-GB" w:eastAsia="it-IT"/>
        </w:rPr>
      </w:pPr>
      <w:r w:rsidRPr="00EF07E4">
        <w:rPr>
          <w:rFonts w:ascii="Times New Roman" w:eastAsia="Times" w:hAnsi="Times New Roman" w:cs="Times New Roman"/>
          <w:sz w:val="20"/>
          <w:szCs w:val="20"/>
          <w:lang w:val="en-GB" w:eastAsia="it-IT"/>
        </w:rPr>
        <w:t xml:space="preserve"> </w:t>
      </w:r>
      <w:r>
        <w:rPr>
          <w:rFonts w:ascii="Times New Roman" w:eastAsia="Times" w:hAnsi="Times New Roman" w:cs="Times New Roman"/>
          <w:sz w:val="20"/>
          <w:szCs w:val="20"/>
          <w:lang w:val="en-GB" w:eastAsia="it-IT"/>
        </w:rPr>
        <w:t>E</w:t>
      </w:r>
      <w:r w:rsidRPr="00EB3154">
        <w:rPr>
          <w:rFonts w:ascii="Times New Roman" w:eastAsia="Times" w:hAnsi="Times New Roman" w:cs="Times New Roman"/>
          <w:sz w:val="20"/>
          <w:szCs w:val="20"/>
          <w:lang w:val="en-GB" w:eastAsia="it-IT"/>
        </w:rPr>
        <w:t xml:space="preserve">conomic policy </w:t>
      </w:r>
      <w:r>
        <w:rPr>
          <w:rFonts w:ascii="Times New Roman" w:eastAsia="Times" w:hAnsi="Times New Roman" w:cs="Times New Roman"/>
          <w:sz w:val="20"/>
          <w:szCs w:val="20"/>
          <w:lang w:val="en-GB" w:eastAsia="it-IT"/>
        </w:rPr>
        <w:t>for</w:t>
      </w:r>
      <w:r w:rsidRPr="00EB3154">
        <w:rPr>
          <w:rFonts w:ascii="Times New Roman" w:eastAsia="Times" w:hAnsi="Times New Roman" w:cs="Times New Roman"/>
          <w:sz w:val="20"/>
          <w:szCs w:val="20"/>
          <w:lang w:val="en-GB" w:eastAsia="it-IT"/>
        </w:rPr>
        <w:t xml:space="preserve"> the pandemic and war: Next Generation EU and RePowerEU</w:t>
      </w:r>
    </w:p>
    <w:p w14:paraId="0159E5FD" w14:textId="77777777" w:rsidR="00A5145F" w:rsidRPr="00EF07E4" w:rsidRDefault="00A5145F" w:rsidP="00A5145F">
      <w:pPr>
        <w:tabs>
          <w:tab w:val="left" w:pos="284"/>
        </w:tabs>
        <w:spacing w:after="0" w:line="240" w:lineRule="exact"/>
        <w:jc w:val="both"/>
        <w:rPr>
          <w:rFonts w:ascii="Times New Roman" w:eastAsia="Times New Roman" w:hAnsi="Times New Roman" w:cs="Times New Roman"/>
          <w:i/>
          <w:sz w:val="20"/>
          <w:szCs w:val="20"/>
          <w:lang w:val="en-GB" w:eastAsia="it-IT"/>
        </w:rPr>
      </w:pPr>
    </w:p>
    <w:p w14:paraId="70D8BBF3" w14:textId="77777777" w:rsidR="00A5145F" w:rsidRPr="002F2B90" w:rsidRDefault="00A5145F" w:rsidP="00A5145F">
      <w:pPr>
        <w:tabs>
          <w:tab w:val="left" w:pos="284"/>
        </w:tabs>
        <w:spacing w:after="0" w:line="240" w:lineRule="exact"/>
        <w:jc w:val="both"/>
        <w:rPr>
          <w:rFonts w:ascii="Times New Roman" w:eastAsia="Times New Roman" w:hAnsi="Times New Roman" w:cs="Times New Roman"/>
          <w:i/>
          <w:sz w:val="20"/>
          <w:szCs w:val="20"/>
          <w:lang w:eastAsia="it-IT"/>
        </w:rPr>
      </w:pPr>
      <w:r w:rsidRPr="002F2B90">
        <w:rPr>
          <w:rFonts w:ascii="Times New Roman" w:eastAsia="Times New Roman" w:hAnsi="Times New Roman" w:cs="Times New Roman"/>
          <w:i/>
          <w:sz w:val="20"/>
          <w:szCs w:val="20"/>
          <w:lang w:eastAsia="it-IT"/>
        </w:rPr>
        <w:t>Module 2 - Circular economy - Prof. Giovanni Guastella</w:t>
      </w:r>
    </w:p>
    <w:p w14:paraId="45AF5D74" w14:textId="77777777" w:rsidR="00A5145F" w:rsidRPr="00EF07E4" w:rsidRDefault="00A5145F" w:rsidP="00A5145F">
      <w:pPr>
        <w:pStyle w:val="Paragrafoelenco"/>
        <w:numPr>
          <w:ilvl w:val="1"/>
          <w:numId w:val="8"/>
        </w:numPr>
        <w:tabs>
          <w:tab w:val="left" w:pos="284"/>
        </w:tabs>
        <w:spacing w:after="0" w:line="240" w:lineRule="exact"/>
        <w:jc w:val="both"/>
        <w:rPr>
          <w:rFonts w:ascii="Times New Roman" w:eastAsia="Times New Roman" w:hAnsi="Times New Roman" w:cs="Times New Roman"/>
          <w:iCs/>
          <w:sz w:val="20"/>
          <w:szCs w:val="20"/>
          <w:lang w:val="en-GB" w:eastAsia="it-IT"/>
        </w:rPr>
      </w:pPr>
      <w:r w:rsidRPr="0023709B">
        <w:rPr>
          <w:rFonts w:ascii="Times New Roman" w:eastAsia="Times New Roman" w:hAnsi="Times New Roman" w:cs="Times New Roman"/>
          <w:iCs/>
          <w:sz w:val="20"/>
          <w:szCs w:val="20"/>
          <w:lang w:val="en-GB" w:eastAsia="it-IT"/>
        </w:rPr>
        <w:t xml:space="preserve">The environmental benefits of </w:t>
      </w:r>
      <w:r>
        <w:rPr>
          <w:rFonts w:ascii="Times New Roman" w:eastAsia="Times New Roman" w:hAnsi="Times New Roman" w:cs="Times New Roman"/>
          <w:iCs/>
          <w:sz w:val="20"/>
          <w:szCs w:val="20"/>
          <w:lang w:val="en-GB" w:eastAsia="it-IT"/>
        </w:rPr>
        <w:t xml:space="preserve">the </w:t>
      </w:r>
      <w:r w:rsidRPr="00EF07E4">
        <w:rPr>
          <w:rFonts w:ascii="Times New Roman" w:eastAsia="Times New Roman" w:hAnsi="Times New Roman" w:cs="Times New Roman"/>
          <w:i/>
          <w:sz w:val="20"/>
          <w:szCs w:val="20"/>
          <w:lang w:val="en-GB" w:eastAsia="it-IT"/>
        </w:rPr>
        <w:t>Circular Economy</w:t>
      </w:r>
      <w:r w:rsidRPr="00EF07E4">
        <w:rPr>
          <w:rFonts w:ascii="Times New Roman" w:eastAsia="Times New Roman" w:hAnsi="Times New Roman" w:cs="Times New Roman"/>
          <w:iCs/>
          <w:sz w:val="20"/>
          <w:szCs w:val="20"/>
          <w:lang w:val="en-GB" w:eastAsia="it-IT"/>
        </w:rPr>
        <w:t>.</w:t>
      </w:r>
    </w:p>
    <w:p w14:paraId="73A0FA0A" w14:textId="77777777" w:rsidR="00A5145F" w:rsidRPr="00EF07E4" w:rsidRDefault="00A5145F" w:rsidP="00A5145F">
      <w:pPr>
        <w:pStyle w:val="Paragrafoelenco"/>
        <w:numPr>
          <w:ilvl w:val="1"/>
          <w:numId w:val="8"/>
        </w:numPr>
        <w:tabs>
          <w:tab w:val="left" w:pos="284"/>
        </w:tabs>
        <w:spacing w:after="0" w:line="240" w:lineRule="exact"/>
        <w:jc w:val="both"/>
        <w:rPr>
          <w:rFonts w:ascii="Times New Roman" w:eastAsia="Times New Roman" w:hAnsi="Times New Roman" w:cs="Times New Roman"/>
          <w:iCs/>
          <w:sz w:val="20"/>
          <w:szCs w:val="20"/>
          <w:lang w:val="en-GB" w:eastAsia="it-IT"/>
        </w:rPr>
      </w:pPr>
      <w:r w:rsidRPr="00EF07E4">
        <w:rPr>
          <w:rFonts w:ascii="Times New Roman" w:eastAsia="Times New Roman" w:hAnsi="Times New Roman" w:cs="Times New Roman"/>
          <w:i/>
          <w:sz w:val="20"/>
          <w:szCs w:val="20"/>
          <w:lang w:val="en-GB" w:eastAsia="it-IT"/>
        </w:rPr>
        <w:t>Circular Economy</w:t>
      </w:r>
      <w:r w:rsidRPr="00EF07E4">
        <w:rPr>
          <w:rFonts w:ascii="Times New Roman" w:eastAsia="Times New Roman" w:hAnsi="Times New Roman" w:cs="Times New Roman"/>
          <w:iCs/>
          <w:sz w:val="20"/>
          <w:szCs w:val="20"/>
          <w:lang w:val="en-GB" w:eastAsia="it-IT"/>
        </w:rPr>
        <w:t xml:space="preserve">, </w:t>
      </w:r>
      <w:r w:rsidRPr="00EF07E4">
        <w:rPr>
          <w:rFonts w:ascii="Times New Roman" w:eastAsia="Times New Roman" w:hAnsi="Times New Roman" w:cs="Times New Roman"/>
          <w:i/>
          <w:sz w:val="20"/>
          <w:szCs w:val="20"/>
          <w:lang w:val="en-GB" w:eastAsia="it-IT"/>
        </w:rPr>
        <w:t>Bioeconomy</w:t>
      </w:r>
      <w:r w:rsidRPr="00EF07E4">
        <w:rPr>
          <w:rFonts w:ascii="Times New Roman" w:eastAsia="Times New Roman" w:hAnsi="Times New Roman" w:cs="Times New Roman"/>
          <w:iCs/>
          <w:sz w:val="20"/>
          <w:szCs w:val="20"/>
          <w:lang w:val="en-GB" w:eastAsia="it-IT"/>
        </w:rPr>
        <w:t xml:space="preserve"> </w:t>
      </w:r>
      <w:r>
        <w:rPr>
          <w:rFonts w:ascii="Times New Roman" w:eastAsia="Times New Roman" w:hAnsi="Times New Roman" w:cs="Times New Roman"/>
          <w:iCs/>
          <w:sz w:val="20"/>
          <w:szCs w:val="20"/>
          <w:lang w:val="en-GB" w:eastAsia="it-IT"/>
        </w:rPr>
        <w:t>and</w:t>
      </w:r>
      <w:r w:rsidRPr="00EF07E4">
        <w:rPr>
          <w:rFonts w:ascii="Times New Roman" w:eastAsia="Times New Roman" w:hAnsi="Times New Roman" w:cs="Times New Roman"/>
          <w:iCs/>
          <w:sz w:val="20"/>
          <w:szCs w:val="20"/>
          <w:lang w:val="en-GB" w:eastAsia="it-IT"/>
        </w:rPr>
        <w:t xml:space="preserve"> </w:t>
      </w:r>
      <w:r w:rsidRPr="00EF07E4">
        <w:rPr>
          <w:rFonts w:ascii="Times New Roman" w:eastAsia="Times New Roman" w:hAnsi="Times New Roman" w:cs="Times New Roman"/>
          <w:i/>
          <w:sz w:val="20"/>
          <w:szCs w:val="20"/>
          <w:lang w:val="en-GB" w:eastAsia="it-IT"/>
        </w:rPr>
        <w:t>Green economy</w:t>
      </w:r>
      <w:r w:rsidRPr="00EF07E4">
        <w:rPr>
          <w:rFonts w:ascii="Times New Roman" w:eastAsia="Times New Roman" w:hAnsi="Times New Roman" w:cs="Times New Roman"/>
          <w:iCs/>
          <w:sz w:val="20"/>
          <w:szCs w:val="20"/>
          <w:lang w:val="en-GB" w:eastAsia="it-IT"/>
        </w:rPr>
        <w:t xml:space="preserve">: </w:t>
      </w:r>
      <w:r w:rsidRPr="0023709B">
        <w:rPr>
          <w:rFonts w:ascii="Times New Roman" w:eastAsia="Times New Roman" w:hAnsi="Times New Roman" w:cs="Times New Roman"/>
          <w:iCs/>
          <w:sz w:val="20"/>
          <w:szCs w:val="20"/>
          <w:lang w:val="en-GB" w:eastAsia="it-IT"/>
        </w:rPr>
        <w:t>a summary picture</w:t>
      </w:r>
      <w:r w:rsidRPr="00EF07E4">
        <w:rPr>
          <w:rFonts w:ascii="Times New Roman" w:eastAsia="Times New Roman" w:hAnsi="Times New Roman" w:cs="Times New Roman"/>
          <w:iCs/>
          <w:sz w:val="20"/>
          <w:szCs w:val="20"/>
          <w:lang w:val="en-GB" w:eastAsia="it-IT"/>
        </w:rPr>
        <w:t>.</w:t>
      </w:r>
    </w:p>
    <w:p w14:paraId="01A535BE" w14:textId="77777777" w:rsidR="00A5145F" w:rsidRPr="00EF07E4" w:rsidRDefault="00A5145F" w:rsidP="00A5145F">
      <w:pPr>
        <w:pStyle w:val="Paragrafoelenco"/>
        <w:numPr>
          <w:ilvl w:val="1"/>
          <w:numId w:val="8"/>
        </w:numPr>
        <w:tabs>
          <w:tab w:val="left" w:pos="284"/>
        </w:tabs>
        <w:spacing w:after="0" w:line="240" w:lineRule="exact"/>
        <w:jc w:val="both"/>
        <w:rPr>
          <w:rFonts w:ascii="Times New Roman" w:eastAsia="Times New Roman" w:hAnsi="Times New Roman" w:cs="Times New Roman"/>
          <w:iCs/>
          <w:sz w:val="20"/>
          <w:szCs w:val="20"/>
          <w:lang w:val="en-GB" w:eastAsia="it-IT"/>
        </w:rPr>
      </w:pPr>
      <w:r w:rsidRPr="0023709B">
        <w:rPr>
          <w:rFonts w:ascii="Times New Roman" w:eastAsia="Times New Roman" w:hAnsi="Times New Roman" w:cs="Times New Roman"/>
          <w:iCs/>
          <w:sz w:val="20"/>
          <w:szCs w:val="20"/>
          <w:lang w:val="en-GB" w:eastAsia="it-IT"/>
        </w:rPr>
        <w:lastRenderedPageBreak/>
        <w:t>Measuring the circular economy: experiences and methodological approaches</w:t>
      </w:r>
      <w:r w:rsidRPr="00EF07E4">
        <w:rPr>
          <w:rFonts w:ascii="Times New Roman" w:eastAsia="Times New Roman" w:hAnsi="Times New Roman" w:cs="Times New Roman"/>
          <w:iCs/>
          <w:sz w:val="20"/>
          <w:szCs w:val="20"/>
          <w:lang w:val="en-GB" w:eastAsia="it-IT"/>
        </w:rPr>
        <w:t>.</w:t>
      </w:r>
    </w:p>
    <w:p w14:paraId="3A0B60E9" w14:textId="77777777" w:rsidR="00A5145F" w:rsidRPr="00EF07E4" w:rsidRDefault="00A5145F" w:rsidP="00A5145F">
      <w:pPr>
        <w:pStyle w:val="Paragrafoelenco"/>
        <w:numPr>
          <w:ilvl w:val="1"/>
          <w:numId w:val="8"/>
        </w:numPr>
        <w:tabs>
          <w:tab w:val="left" w:pos="284"/>
        </w:tabs>
        <w:spacing w:after="0" w:line="240" w:lineRule="exact"/>
        <w:jc w:val="both"/>
        <w:rPr>
          <w:rFonts w:ascii="Times New Roman" w:eastAsia="Times New Roman" w:hAnsi="Times New Roman" w:cs="Times New Roman"/>
          <w:iCs/>
          <w:sz w:val="20"/>
          <w:szCs w:val="20"/>
          <w:lang w:val="en-GB" w:eastAsia="it-IT"/>
        </w:rPr>
      </w:pPr>
      <w:r w:rsidRPr="0023709B">
        <w:rPr>
          <w:rFonts w:ascii="Times New Roman" w:eastAsia="Times New Roman" w:hAnsi="Times New Roman" w:cs="Times New Roman"/>
          <w:iCs/>
          <w:sz w:val="20"/>
          <w:szCs w:val="20"/>
          <w:lang w:val="en-GB" w:eastAsia="it-IT"/>
        </w:rPr>
        <w:t xml:space="preserve">Circular transformation of business models and analysis of </w:t>
      </w:r>
      <w:r>
        <w:rPr>
          <w:rFonts w:ascii="Times New Roman" w:eastAsia="Times New Roman" w:hAnsi="Times New Roman" w:cs="Times New Roman"/>
          <w:iCs/>
          <w:sz w:val="20"/>
          <w:szCs w:val="20"/>
          <w:lang w:val="en-GB" w:eastAsia="it-IT"/>
        </w:rPr>
        <w:t xml:space="preserve">the </w:t>
      </w:r>
      <w:r w:rsidRPr="0023709B">
        <w:rPr>
          <w:rFonts w:ascii="Times New Roman" w:eastAsia="Times New Roman" w:hAnsi="Times New Roman" w:cs="Times New Roman"/>
          <w:iCs/>
          <w:sz w:val="20"/>
          <w:szCs w:val="20"/>
          <w:lang w:val="en-GB" w:eastAsia="it-IT"/>
        </w:rPr>
        <w:t>innovation drivers</w:t>
      </w:r>
      <w:r w:rsidRPr="00EF07E4">
        <w:rPr>
          <w:rFonts w:ascii="Times New Roman" w:eastAsia="Times New Roman" w:hAnsi="Times New Roman" w:cs="Times New Roman"/>
          <w:iCs/>
          <w:sz w:val="20"/>
          <w:szCs w:val="20"/>
          <w:lang w:val="en-GB" w:eastAsia="it-IT"/>
        </w:rPr>
        <w:t xml:space="preserve">. </w:t>
      </w:r>
    </w:p>
    <w:p w14:paraId="6191AEE6" w14:textId="77777777" w:rsidR="00A5145F" w:rsidRPr="00EF07E4" w:rsidRDefault="00A5145F" w:rsidP="00A5145F">
      <w:pPr>
        <w:pStyle w:val="Paragrafoelenco"/>
        <w:numPr>
          <w:ilvl w:val="1"/>
          <w:numId w:val="8"/>
        </w:numPr>
        <w:tabs>
          <w:tab w:val="left" w:pos="284"/>
        </w:tabs>
        <w:spacing w:after="0" w:line="240" w:lineRule="exact"/>
        <w:jc w:val="both"/>
        <w:rPr>
          <w:rFonts w:ascii="Times New Roman" w:eastAsia="Times New Roman" w:hAnsi="Times New Roman" w:cs="Times New Roman"/>
          <w:iCs/>
          <w:sz w:val="20"/>
          <w:szCs w:val="20"/>
          <w:lang w:val="en-GB" w:eastAsia="it-IT"/>
        </w:rPr>
      </w:pPr>
      <w:r w:rsidRPr="0023709B">
        <w:rPr>
          <w:rFonts w:ascii="Times New Roman" w:eastAsia="Times New Roman" w:hAnsi="Times New Roman" w:cs="Times New Roman"/>
          <w:iCs/>
          <w:sz w:val="20"/>
          <w:szCs w:val="20"/>
          <w:lang w:val="en-GB" w:eastAsia="it-IT"/>
        </w:rPr>
        <w:t>Circular and digital innovation for the twin transition of small and medium-sized enterprises</w:t>
      </w:r>
      <w:r w:rsidRPr="00EF07E4">
        <w:rPr>
          <w:rFonts w:ascii="Times New Roman" w:eastAsia="Times New Roman" w:hAnsi="Times New Roman" w:cs="Times New Roman"/>
          <w:iCs/>
          <w:sz w:val="20"/>
          <w:szCs w:val="20"/>
          <w:lang w:val="en-GB" w:eastAsia="it-IT"/>
        </w:rPr>
        <w:t>.</w:t>
      </w:r>
    </w:p>
    <w:p w14:paraId="2CEF9435" w14:textId="77777777" w:rsidR="00A5145F" w:rsidRPr="00EF07E4" w:rsidRDefault="00A5145F" w:rsidP="00A5145F">
      <w:pPr>
        <w:keepNext/>
        <w:tabs>
          <w:tab w:val="left" w:pos="284"/>
        </w:tabs>
        <w:spacing w:before="240" w:after="120" w:line="240" w:lineRule="exact"/>
        <w:jc w:val="both"/>
        <w:rPr>
          <w:rFonts w:ascii="Times New Roman" w:eastAsia="Times New Roman" w:hAnsi="Times New Roman" w:cs="Times New Roman"/>
          <w:b/>
          <w:sz w:val="20"/>
          <w:szCs w:val="20"/>
          <w:lang w:val="en-GB" w:eastAsia="it-IT"/>
        </w:rPr>
      </w:pPr>
      <w:r w:rsidRPr="00EF07E4">
        <w:rPr>
          <w:rFonts w:ascii="Times New Roman" w:eastAsia="Times New Roman" w:hAnsi="Times New Roman" w:cs="Times New Roman"/>
          <w:b/>
          <w:i/>
          <w:sz w:val="20"/>
          <w:szCs w:val="20"/>
          <w:lang w:val="en-GB" w:eastAsia="it-IT"/>
        </w:rPr>
        <w:t>READING LIST</w:t>
      </w:r>
    </w:p>
    <w:p w14:paraId="7E15893F" w14:textId="77777777" w:rsidR="00A5145F" w:rsidRPr="00EF07E4" w:rsidRDefault="00A5145F" w:rsidP="00A5145F">
      <w:pPr>
        <w:keepNext/>
        <w:tabs>
          <w:tab w:val="left" w:pos="284"/>
        </w:tabs>
        <w:spacing w:before="240" w:after="120" w:line="240" w:lineRule="exact"/>
        <w:jc w:val="both"/>
        <w:rPr>
          <w:rFonts w:ascii="Times New Roman" w:eastAsia="Times New Roman" w:hAnsi="Times New Roman" w:cs="Times New Roman"/>
          <w:smallCaps/>
          <w:noProof/>
          <w:spacing w:val="-5"/>
          <w:sz w:val="20"/>
          <w:szCs w:val="20"/>
          <w:lang w:val="en-GB" w:eastAsia="it-IT"/>
        </w:rPr>
      </w:pPr>
      <w:r w:rsidRPr="00EF07E4">
        <w:rPr>
          <w:rFonts w:ascii="Times New Roman" w:eastAsia="Times New Roman" w:hAnsi="Times New Roman" w:cs="Times New Roman"/>
          <w:smallCaps/>
          <w:noProof/>
          <w:spacing w:val="-5"/>
          <w:sz w:val="20"/>
          <w:szCs w:val="20"/>
          <w:lang w:val="en-GB" w:eastAsia="it-IT"/>
        </w:rPr>
        <w:t>MODUL</w:t>
      </w:r>
      <w:r>
        <w:rPr>
          <w:rFonts w:ascii="Times New Roman" w:eastAsia="Times New Roman" w:hAnsi="Times New Roman" w:cs="Times New Roman"/>
          <w:smallCaps/>
          <w:noProof/>
          <w:spacing w:val="-5"/>
          <w:sz w:val="20"/>
          <w:szCs w:val="20"/>
          <w:lang w:val="en-GB" w:eastAsia="it-IT"/>
        </w:rPr>
        <w:t>E</w:t>
      </w:r>
      <w:r w:rsidRPr="00EF07E4">
        <w:rPr>
          <w:rFonts w:ascii="Times New Roman" w:eastAsia="Times New Roman" w:hAnsi="Times New Roman" w:cs="Times New Roman"/>
          <w:smallCaps/>
          <w:noProof/>
          <w:spacing w:val="-5"/>
          <w:sz w:val="20"/>
          <w:szCs w:val="20"/>
          <w:lang w:val="en-GB" w:eastAsia="it-IT"/>
        </w:rPr>
        <w:t xml:space="preserve"> 1 – </w:t>
      </w:r>
      <w:r>
        <w:rPr>
          <w:rFonts w:ascii="Times New Roman" w:eastAsia="Times New Roman" w:hAnsi="Times New Roman" w:cs="Times New Roman"/>
          <w:smallCaps/>
          <w:noProof/>
          <w:spacing w:val="-5"/>
          <w:sz w:val="20"/>
          <w:szCs w:val="20"/>
          <w:lang w:val="en-GB" w:eastAsia="it-IT"/>
        </w:rPr>
        <w:t>European Economic Policy for Sustainability</w:t>
      </w:r>
    </w:p>
    <w:p w14:paraId="1B3F277B" w14:textId="77777777" w:rsidR="00A5145F" w:rsidRPr="00EF07E4" w:rsidRDefault="00A5145F" w:rsidP="00A5145F">
      <w:pPr>
        <w:spacing w:before="120" w:line="220" w:lineRule="exact"/>
        <w:rPr>
          <w:rFonts w:ascii="Times New Roman" w:hAnsi="Times New Roman" w:cs="Times New Roman"/>
          <w:i/>
          <w:noProof/>
          <w:sz w:val="20"/>
          <w:szCs w:val="20"/>
          <w:lang w:val="en-GB"/>
        </w:rPr>
      </w:pPr>
      <w:r w:rsidRPr="00A47F52">
        <w:rPr>
          <w:rFonts w:ascii="Times New Roman" w:hAnsi="Times New Roman" w:cs="Times New Roman"/>
          <w:i/>
          <w:noProof/>
          <w:sz w:val="20"/>
          <w:szCs w:val="20"/>
          <w:lang w:val="en-GB"/>
        </w:rPr>
        <w:t xml:space="preserve">Materials will be prepared by the </w:t>
      </w:r>
      <w:r>
        <w:rPr>
          <w:rFonts w:ascii="Times New Roman" w:hAnsi="Times New Roman" w:cs="Times New Roman"/>
          <w:i/>
          <w:noProof/>
          <w:sz w:val="20"/>
          <w:szCs w:val="20"/>
          <w:lang w:val="en-GB"/>
        </w:rPr>
        <w:t>lecturer</w:t>
      </w:r>
      <w:r w:rsidRPr="00A47F52">
        <w:rPr>
          <w:rFonts w:ascii="Times New Roman" w:hAnsi="Times New Roman" w:cs="Times New Roman"/>
          <w:i/>
          <w:noProof/>
          <w:sz w:val="20"/>
          <w:szCs w:val="20"/>
          <w:lang w:val="en-GB"/>
        </w:rPr>
        <w:t xml:space="preserve"> and provided on Blackboard. Here are some useful references for the course</w:t>
      </w:r>
      <w:r w:rsidRPr="00EF07E4">
        <w:rPr>
          <w:rFonts w:ascii="Times New Roman" w:hAnsi="Times New Roman" w:cs="Times New Roman"/>
          <w:i/>
          <w:noProof/>
          <w:sz w:val="20"/>
          <w:szCs w:val="20"/>
          <w:lang w:val="en-GB"/>
        </w:rPr>
        <w:t>.</w:t>
      </w:r>
    </w:p>
    <w:p w14:paraId="60DA5B3F" w14:textId="77777777" w:rsidR="00A5145F" w:rsidRPr="00EF07E4" w:rsidRDefault="00A5145F" w:rsidP="00A5145F">
      <w:pPr>
        <w:pStyle w:val="Paragrafoelenco"/>
        <w:numPr>
          <w:ilvl w:val="0"/>
          <w:numId w:val="4"/>
        </w:numPr>
        <w:spacing w:before="120" w:after="0" w:line="220" w:lineRule="exact"/>
        <w:jc w:val="both"/>
        <w:rPr>
          <w:rFonts w:ascii="Times New Roman" w:hAnsi="Times New Roman" w:cs="Times New Roman"/>
          <w:i/>
          <w:noProof/>
          <w:sz w:val="20"/>
          <w:szCs w:val="20"/>
          <w:lang w:val="en-GB"/>
        </w:rPr>
      </w:pPr>
      <w:r w:rsidRPr="00EF07E4">
        <w:rPr>
          <w:rFonts w:ascii="Times New Roman" w:hAnsi="Times New Roman" w:cs="Times New Roman"/>
          <w:i/>
          <w:noProof/>
          <w:sz w:val="20"/>
          <w:szCs w:val="20"/>
          <w:lang w:val="en-GB"/>
        </w:rPr>
        <w:t>Fetting, C. (2020). “The European Green Deal”, ESDN Report, December 2020, ESDN Office, Vienna.</w:t>
      </w:r>
    </w:p>
    <w:p w14:paraId="33EB5741" w14:textId="77777777" w:rsidR="00A5145F" w:rsidRPr="00EF07E4" w:rsidRDefault="00A5145F" w:rsidP="00A5145F">
      <w:pPr>
        <w:pStyle w:val="Paragrafoelenco"/>
        <w:numPr>
          <w:ilvl w:val="0"/>
          <w:numId w:val="4"/>
        </w:numPr>
        <w:spacing w:before="120" w:after="0" w:line="220" w:lineRule="exact"/>
        <w:jc w:val="both"/>
        <w:rPr>
          <w:rFonts w:ascii="Times New Roman" w:hAnsi="Times New Roman" w:cs="Times New Roman"/>
          <w:i/>
          <w:noProof/>
          <w:sz w:val="20"/>
          <w:szCs w:val="20"/>
          <w:lang w:val="en-GB"/>
        </w:rPr>
      </w:pPr>
      <w:r w:rsidRPr="00EF07E4">
        <w:rPr>
          <w:rFonts w:ascii="Times New Roman" w:hAnsi="Times New Roman" w:cs="Times New Roman"/>
          <w:i/>
          <w:noProof/>
          <w:sz w:val="20"/>
          <w:szCs w:val="20"/>
          <w:lang w:val="en-GB"/>
        </w:rPr>
        <w:t xml:space="preserve">Apollonia Miola, Fritz Schiltz (2019), “Measuring sustainable development goals performance: How to monitor policy action in the 2030 Agenda implementation?, Ecological Economics, Volume 164, 2019, 106373, ISSN 0921-8009, </w:t>
      </w:r>
      <w:hyperlink r:id="rId5" w:history="1">
        <w:r w:rsidRPr="00EF07E4">
          <w:rPr>
            <w:rStyle w:val="Collegamentoipertestuale"/>
            <w:rFonts w:ascii="Times New Roman" w:hAnsi="Times New Roman" w:cs="Times New Roman"/>
            <w:i/>
            <w:noProof/>
            <w:sz w:val="20"/>
            <w:szCs w:val="20"/>
            <w:lang w:val="en-GB"/>
          </w:rPr>
          <w:t>https://doi.org/10.1016/j.ecolecon.2019.106373</w:t>
        </w:r>
      </w:hyperlink>
      <w:r w:rsidRPr="00EF07E4">
        <w:rPr>
          <w:rFonts w:ascii="Times New Roman" w:hAnsi="Times New Roman" w:cs="Times New Roman"/>
          <w:i/>
          <w:noProof/>
          <w:sz w:val="20"/>
          <w:szCs w:val="20"/>
          <w:lang w:val="en-GB"/>
        </w:rPr>
        <w:t>.</w:t>
      </w:r>
    </w:p>
    <w:p w14:paraId="667F2A82" w14:textId="77777777" w:rsidR="00A5145F" w:rsidRPr="00EF07E4" w:rsidRDefault="00A5145F" w:rsidP="00A5145F">
      <w:pPr>
        <w:pStyle w:val="Paragrafoelenco"/>
        <w:numPr>
          <w:ilvl w:val="0"/>
          <w:numId w:val="4"/>
        </w:numPr>
        <w:spacing w:before="120" w:after="0" w:line="220" w:lineRule="exact"/>
        <w:jc w:val="both"/>
        <w:rPr>
          <w:rFonts w:ascii="Times New Roman" w:hAnsi="Times New Roman" w:cs="Times New Roman"/>
          <w:i/>
          <w:noProof/>
          <w:sz w:val="20"/>
          <w:szCs w:val="20"/>
          <w:lang w:val="en-GB"/>
        </w:rPr>
      </w:pPr>
      <w:r w:rsidRPr="002F2B90">
        <w:rPr>
          <w:rFonts w:ascii="Times New Roman" w:hAnsi="Times New Roman" w:cs="Times New Roman"/>
          <w:i/>
          <w:noProof/>
          <w:sz w:val="20"/>
          <w:szCs w:val="20"/>
        </w:rPr>
        <w:t xml:space="preserve">Codogno, L., van den Noord, P. (2022). </w:t>
      </w:r>
      <w:r w:rsidRPr="00EF07E4">
        <w:rPr>
          <w:rFonts w:ascii="Times New Roman" w:hAnsi="Times New Roman" w:cs="Times New Roman"/>
          <w:i/>
          <w:noProof/>
          <w:sz w:val="20"/>
          <w:szCs w:val="20"/>
          <w:lang w:val="en-GB"/>
        </w:rPr>
        <w:t xml:space="preserve">Assessing Next Generation EU. In: Paganetto, L. (eds) Economic Challenges for Europe After the Pandemic. Springer Proceedings in Business and Economics. Springer, Cham. </w:t>
      </w:r>
      <w:hyperlink r:id="rId6" w:history="1">
        <w:r w:rsidRPr="00EF07E4">
          <w:rPr>
            <w:rStyle w:val="Collegamentoipertestuale"/>
            <w:rFonts w:ascii="Times New Roman" w:hAnsi="Times New Roman" w:cs="Times New Roman"/>
            <w:i/>
            <w:noProof/>
            <w:sz w:val="20"/>
            <w:szCs w:val="20"/>
            <w:lang w:val="en-GB"/>
          </w:rPr>
          <w:t>https://doi.org/10.1007/978-3-031-10302-5_5</w:t>
        </w:r>
      </w:hyperlink>
    </w:p>
    <w:p w14:paraId="378EAB86" w14:textId="77777777" w:rsidR="00A5145F" w:rsidRPr="00EF07E4" w:rsidRDefault="00A5145F" w:rsidP="00A5145F">
      <w:pPr>
        <w:pStyle w:val="Paragrafoelenco"/>
        <w:numPr>
          <w:ilvl w:val="0"/>
          <w:numId w:val="4"/>
        </w:numPr>
        <w:spacing w:before="120" w:after="0" w:line="220" w:lineRule="exact"/>
        <w:jc w:val="both"/>
        <w:rPr>
          <w:rStyle w:val="Collegamentoipertestuale"/>
          <w:rFonts w:ascii="Times New Roman" w:hAnsi="Times New Roman" w:cs="Times New Roman"/>
          <w:i/>
          <w:noProof/>
          <w:color w:val="auto"/>
          <w:sz w:val="20"/>
          <w:szCs w:val="20"/>
          <w:u w:val="none"/>
          <w:lang w:val="en-GB"/>
        </w:rPr>
      </w:pPr>
      <w:r w:rsidRPr="00EF07E4">
        <w:rPr>
          <w:rFonts w:ascii="Times New Roman" w:hAnsi="Times New Roman" w:cs="Times New Roman"/>
          <w:i/>
          <w:noProof/>
          <w:sz w:val="20"/>
          <w:szCs w:val="20"/>
          <w:lang w:val="en-GB"/>
        </w:rPr>
        <w:t xml:space="preserve">Laurent A. Lambert, Jad Tayah, Caroline Lee-Schmid, Monged Abdalla, Ismail Abdallah, Abdalftah H.M. Ali, Suhail Esmail, Waleed Ahmed (2022), “The EU's natural gas Cold War and diversification challenges”, Energy Strategy Reviews, Volume 43, 2022, 100934,, ISSN 2211-467X,, </w:t>
      </w:r>
      <w:hyperlink r:id="rId7" w:history="1">
        <w:r w:rsidRPr="00EF07E4">
          <w:rPr>
            <w:rStyle w:val="Collegamentoipertestuale"/>
            <w:rFonts w:ascii="Times New Roman" w:hAnsi="Times New Roman" w:cs="Times New Roman"/>
            <w:i/>
            <w:noProof/>
            <w:sz w:val="20"/>
            <w:szCs w:val="20"/>
            <w:lang w:val="en-GB"/>
          </w:rPr>
          <w:t>https://doi.org/10.1016/j.esr.2022.100934</w:t>
        </w:r>
      </w:hyperlink>
    </w:p>
    <w:p w14:paraId="7756F58A" w14:textId="77777777" w:rsidR="00A5145F" w:rsidRPr="002F2B90" w:rsidRDefault="00A5145F" w:rsidP="00A5145F">
      <w:pPr>
        <w:numPr>
          <w:ilvl w:val="0"/>
          <w:numId w:val="4"/>
        </w:numPr>
        <w:spacing w:before="120" w:after="0" w:line="220" w:lineRule="exact"/>
        <w:jc w:val="both"/>
        <w:rPr>
          <w:rFonts w:ascii="Times New Roman" w:eastAsia="Times" w:hAnsi="Times New Roman" w:cs="Times New Roman"/>
          <w:noProof/>
          <w:sz w:val="20"/>
          <w:szCs w:val="20"/>
        </w:rPr>
      </w:pPr>
      <w:r w:rsidRPr="002F2B90">
        <w:rPr>
          <w:rFonts w:ascii="Times New Roman" w:eastAsia="Times" w:hAnsi="Times New Roman" w:cs="Times New Roman"/>
          <w:noProof/>
          <w:sz w:val="20"/>
          <w:szCs w:val="20"/>
        </w:rPr>
        <w:t>ASVIS, “</w:t>
      </w:r>
      <w:r w:rsidRPr="002F2B90">
        <w:rPr>
          <w:rFonts w:ascii="Times New Roman" w:eastAsia="Times" w:hAnsi="Times New Roman" w:cs="Times New Roman"/>
          <w:i/>
          <w:noProof/>
          <w:sz w:val="20"/>
          <w:szCs w:val="20"/>
        </w:rPr>
        <w:t>Rapporto ASVIS sullo sviluppo sostenibile”</w:t>
      </w:r>
      <w:r w:rsidRPr="002F2B90">
        <w:rPr>
          <w:rFonts w:ascii="Times New Roman" w:eastAsia="Times" w:hAnsi="Times New Roman" w:cs="Times New Roman"/>
          <w:noProof/>
          <w:sz w:val="20"/>
          <w:szCs w:val="20"/>
        </w:rPr>
        <w:t>, 2022</w:t>
      </w:r>
    </w:p>
    <w:p w14:paraId="5E16A25F" w14:textId="77777777" w:rsidR="00A5145F" w:rsidRPr="002F2B90" w:rsidRDefault="00A5145F" w:rsidP="00A5145F">
      <w:pPr>
        <w:pStyle w:val="Paragrafoelenco"/>
        <w:spacing w:before="120" w:after="0" w:line="220" w:lineRule="exact"/>
        <w:jc w:val="both"/>
        <w:rPr>
          <w:rFonts w:ascii="Times New Roman" w:hAnsi="Times New Roman" w:cs="Times New Roman"/>
          <w:i/>
          <w:noProof/>
          <w:sz w:val="20"/>
          <w:szCs w:val="20"/>
        </w:rPr>
      </w:pPr>
    </w:p>
    <w:p w14:paraId="255FFE70" w14:textId="77777777" w:rsidR="00A5145F" w:rsidRPr="00EF07E4" w:rsidRDefault="00A5145F" w:rsidP="00A5145F">
      <w:pPr>
        <w:spacing w:after="0" w:line="240" w:lineRule="exact"/>
        <w:ind w:left="284" w:hanging="284"/>
        <w:jc w:val="both"/>
        <w:rPr>
          <w:rFonts w:ascii="Times New Roman" w:eastAsia="Times New Roman" w:hAnsi="Times New Roman" w:cs="Times New Roman"/>
          <w:noProof/>
          <w:spacing w:val="-5"/>
          <w:sz w:val="20"/>
          <w:szCs w:val="20"/>
          <w:lang w:val="en-GB" w:eastAsia="it-IT"/>
        </w:rPr>
      </w:pPr>
      <w:r w:rsidRPr="00EF07E4">
        <w:rPr>
          <w:rFonts w:ascii="Times New Roman" w:eastAsia="Times New Roman" w:hAnsi="Times New Roman" w:cs="Times New Roman"/>
          <w:smallCaps/>
          <w:noProof/>
          <w:spacing w:val="-5"/>
          <w:sz w:val="20"/>
          <w:szCs w:val="20"/>
          <w:lang w:val="en-GB" w:eastAsia="it-IT"/>
        </w:rPr>
        <w:t>MODUL</w:t>
      </w:r>
      <w:r>
        <w:rPr>
          <w:rFonts w:ascii="Times New Roman" w:eastAsia="Times New Roman" w:hAnsi="Times New Roman" w:cs="Times New Roman"/>
          <w:smallCaps/>
          <w:noProof/>
          <w:spacing w:val="-5"/>
          <w:sz w:val="20"/>
          <w:szCs w:val="20"/>
          <w:lang w:val="en-GB" w:eastAsia="it-IT"/>
        </w:rPr>
        <w:t>E</w:t>
      </w:r>
      <w:r w:rsidRPr="00EF07E4">
        <w:rPr>
          <w:rFonts w:ascii="Times New Roman" w:eastAsia="Times New Roman" w:hAnsi="Times New Roman" w:cs="Times New Roman"/>
          <w:smallCaps/>
          <w:noProof/>
          <w:spacing w:val="-5"/>
          <w:sz w:val="20"/>
          <w:szCs w:val="20"/>
          <w:lang w:val="en-GB" w:eastAsia="it-IT"/>
        </w:rPr>
        <w:t xml:space="preserve"> 2 </w:t>
      </w:r>
      <w:r>
        <w:rPr>
          <w:rFonts w:ascii="Times New Roman" w:eastAsia="Times New Roman" w:hAnsi="Times New Roman" w:cs="Times New Roman"/>
          <w:smallCaps/>
          <w:noProof/>
          <w:spacing w:val="-5"/>
          <w:sz w:val="20"/>
          <w:szCs w:val="20"/>
          <w:lang w:val="en-GB" w:eastAsia="it-IT"/>
        </w:rPr>
        <w:t>–</w:t>
      </w:r>
      <w:r w:rsidRPr="00EF07E4">
        <w:rPr>
          <w:rFonts w:ascii="Times New Roman" w:eastAsia="Times New Roman" w:hAnsi="Times New Roman" w:cs="Times New Roman"/>
          <w:smallCaps/>
          <w:noProof/>
          <w:spacing w:val="-5"/>
          <w:sz w:val="20"/>
          <w:szCs w:val="20"/>
          <w:lang w:val="en-GB" w:eastAsia="it-IT"/>
        </w:rPr>
        <w:t xml:space="preserve"> </w:t>
      </w:r>
      <w:r>
        <w:rPr>
          <w:rFonts w:ascii="Times New Roman" w:eastAsia="Times New Roman" w:hAnsi="Times New Roman" w:cs="Times New Roman"/>
          <w:smallCaps/>
          <w:noProof/>
          <w:spacing w:val="-5"/>
          <w:sz w:val="20"/>
          <w:szCs w:val="20"/>
          <w:lang w:val="en-GB" w:eastAsia="it-IT"/>
        </w:rPr>
        <w:t>Handouts provided by the lecturer</w:t>
      </w:r>
    </w:p>
    <w:p w14:paraId="6EB0E60D" w14:textId="77777777" w:rsidR="00A5145F" w:rsidRPr="00EF07E4" w:rsidRDefault="00A5145F" w:rsidP="00A5145F">
      <w:pPr>
        <w:spacing w:before="120" w:after="0" w:line="220" w:lineRule="exact"/>
        <w:jc w:val="both"/>
        <w:rPr>
          <w:rFonts w:ascii="Times New Roman" w:eastAsia="Times New Roman" w:hAnsi="Times New Roman" w:cs="Times New Roman"/>
          <w:noProof/>
          <w:sz w:val="20"/>
          <w:szCs w:val="20"/>
          <w:lang w:val="en-GB" w:eastAsia="it-IT"/>
        </w:rPr>
      </w:pPr>
      <w:r>
        <w:rPr>
          <w:rFonts w:ascii="Times New Roman" w:eastAsia="Times New Roman" w:hAnsi="Times New Roman" w:cs="Times New Roman"/>
          <w:noProof/>
          <w:sz w:val="20"/>
          <w:szCs w:val="20"/>
          <w:lang w:val="en-GB" w:eastAsia="it-IT"/>
        </w:rPr>
        <w:t>The module</w:t>
      </w:r>
      <w:r w:rsidRPr="00A47F52">
        <w:rPr>
          <w:rFonts w:ascii="Times New Roman" w:eastAsia="Times New Roman" w:hAnsi="Times New Roman" w:cs="Times New Roman"/>
          <w:noProof/>
          <w:sz w:val="20"/>
          <w:szCs w:val="20"/>
          <w:lang w:val="en-GB" w:eastAsia="it-IT"/>
        </w:rPr>
        <w:t xml:space="preserve"> is based on lectures, seminars and case studies. </w:t>
      </w:r>
      <w:r>
        <w:rPr>
          <w:rFonts w:ascii="Times New Roman" w:eastAsia="Times New Roman" w:hAnsi="Times New Roman" w:cs="Times New Roman"/>
          <w:noProof/>
          <w:sz w:val="20"/>
          <w:szCs w:val="20"/>
          <w:lang w:val="en-GB" w:eastAsia="it-IT"/>
        </w:rPr>
        <w:t>It includes s</w:t>
      </w:r>
      <w:r w:rsidRPr="00A47F52">
        <w:rPr>
          <w:rFonts w:ascii="Times New Roman" w:eastAsia="Times New Roman" w:hAnsi="Times New Roman" w:cs="Times New Roman"/>
          <w:noProof/>
          <w:sz w:val="20"/>
          <w:szCs w:val="20"/>
          <w:lang w:val="en-GB" w:eastAsia="it-IT"/>
        </w:rPr>
        <w:t xml:space="preserve">tudent presentations on course topics and mid-term </w:t>
      </w:r>
      <w:r>
        <w:rPr>
          <w:rFonts w:ascii="Times New Roman" w:eastAsia="Times New Roman" w:hAnsi="Times New Roman" w:cs="Times New Roman"/>
          <w:noProof/>
          <w:sz w:val="20"/>
          <w:szCs w:val="20"/>
          <w:lang w:val="en-GB" w:eastAsia="it-IT"/>
        </w:rPr>
        <w:t>assessment sessions</w:t>
      </w:r>
      <w:r w:rsidRPr="00A47F52">
        <w:rPr>
          <w:rFonts w:ascii="Times New Roman" w:eastAsia="Times New Roman" w:hAnsi="Times New Roman" w:cs="Times New Roman"/>
          <w:noProof/>
          <w:sz w:val="20"/>
          <w:szCs w:val="20"/>
          <w:lang w:val="en-GB" w:eastAsia="it-IT"/>
        </w:rPr>
        <w:t>. Finally, some forms of policy design will be implemented also in the form of hackathons</w:t>
      </w:r>
      <w:r w:rsidRPr="00EF07E4">
        <w:rPr>
          <w:rFonts w:ascii="Times New Roman" w:eastAsia="Times New Roman" w:hAnsi="Times New Roman" w:cs="Times New Roman"/>
          <w:noProof/>
          <w:sz w:val="20"/>
          <w:szCs w:val="20"/>
          <w:lang w:val="en-GB" w:eastAsia="it-IT"/>
        </w:rPr>
        <w:t>.</w:t>
      </w:r>
    </w:p>
    <w:p w14:paraId="137678FC" w14:textId="77777777" w:rsidR="00A5145F" w:rsidRPr="00EF07E4" w:rsidRDefault="00A5145F" w:rsidP="00A5145F">
      <w:pPr>
        <w:tabs>
          <w:tab w:val="left" w:pos="284"/>
        </w:tabs>
        <w:spacing w:before="240" w:after="120" w:line="240" w:lineRule="exact"/>
        <w:jc w:val="both"/>
        <w:rPr>
          <w:rFonts w:ascii="Times New Roman" w:eastAsia="Times New Roman" w:hAnsi="Times New Roman" w:cs="Times New Roman"/>
          <w:b/>
          <w:i/>
          <w:sz w:val="18"/>
          <w:szCs w:val="24"/>
          <w:lang w:val="en-GB" w:eastAsia="it-IT"/>
        </w:rPr>
      </w:pPr>
      <w:bookmarkStart w:id="2" w:name="_Hlk76557213"/>
      <w:r w:rsidRPr="00EF07E4">
        <w:rPr>
          <w:rFonts w:ascii="Times New Roman" w:eastAsia="Times New Roman" w:hAnsi="Times New Roman" w:cs="Times New Roman"/>
          <w:b/>
          <w:i/>
          <w:sz w:val="18"/>
          <w:szCs w:val="24"/>
          <w:lang w:val="en-GB" w:eastAsia="it-IT"/>
        </w:rPr>
        <w:t>ASSESSMENT METHOD AND CRITERIA</w:t>
      </w:r>
      <w:bookmarkEnd w:id="2"/>
    </w:p>
    <w:p w14:paraId="430C238E" w14:textId="77777777" w:rsidR="00A5145F" w:rsidRPr="00EF07E4" w:rsidRDefault="00A5145F" w:rsidP="00A5145F">
      <w:pPr>
        <w:spacing w:after="0" w:line="220" w:lineRule="exact"/>
        <w:jc w:val="both"/>
        <w:rPr>
          <w:rFonts w:ascii="Times New Roman" w:eastAsia="Times New Roman" w:hAnsi="Times New Roman" w:cs="Times New Roman"/>
          <w:noProof/>
          <w:sz w:val="20"/>
          <w:szCs w:val="20"/>
          <w:lang w:val="en-GB" w:eastAsia="it-IT"/>
        </w:rPr>
      </w:pPr>
      <w:r w:rsidRPr="00A47F52">
        <w:rPr>
          <w:rFonts w:ascii="Times New Roman" w:eastAsia="Times New Roman" w:hAnsi="Times New Roman" w:cs="Times New Roman"/>
          <w:noProof/>
          <w:sz w:val="20"/>
          <w:szCs w:val="20"/>
          <w:lang w:val="en-GB" w:eastAsia="it-IT"/>
        </w:rPr>
        <w:t xml:space="preserve">The </w:t>
      </w:r>
      <w:r>
        <w:rPr>
          <w:rFonts w:ascii="Times New Roman" w:eastAsia="Times New Roman" w:hAnsi="Times New Roman" w:cs="Times New Roman"/>
          <w:noProof/>
          <w:sz w:val="20"/>
          <w:szCs w:val="20"/>
          <w:lang w:val="en-GB" w:eastAsia="it-IT"/>
        </w:rPr>
        <w:t>assessment</w:t>
      </w:r>
      <w:r w:rsidRPr="00A47F52">
        <w:rPr>
          <w:rFonts w:ascii="Times New Roman" w:eastAsia="Times New Roman" w:hAnsi="Times New Roman" w:cs="Times New Roman"/>
          <w:noProof/>
          <w:sz w:val="20"/>
          <w:szCs w:val="20"/>
          <w:lang w:val="en-GB" w:eastAsia="it-IT"/>
        </w:rPr>
        <w:t xml:space="preserve"> </w:t>
      </w:r>
      <w:r>
        <w:rPr>
          <w:rFonts w:ascii="Times New Roman" w:eastAsia="Times New Roman" w:hAnsi="Times New Roman" w:cs="Times New Roman"/>
          <w:noProof/>
          <w:sz w:val="20"/>
          <w:szCs w:val="20"/>
          <w:lang w:val="en-GB" w:eastAsia="it-IT"/>
        </w:rPr>
        <w:t xml:space="preserve">method varies </w:t>
      </w:r>
      <w:r w:rsidRPr="00A47F52">
        <w:rPr>
          <w:rFonts w:ascii="Times New Roman" w:eastAsia="Times New Roman" w:hAnsi="Times New Roman" w:cs="Times New Roman"/>
          <w:noProof/>
          <w:sz w:val="20"/>
          <w:szCs w:val="20"/>
          <w:lang w:val="en-GB" w:eastAsia="it-IT"/>
        </w:rPr>
        <w:t>between attending students who take two inter</w:t>
      </w:r>
      <w:r>
        <w:rPr>
          <w:rFonts w:ascii="Times New Roman" w:eastAsia="Times New Roman" w:hAnsi="Times New Roman" w:cs="Times New Roman"/>
          <w:noProof/>
          <w:sz w:val="20"/>
          <w:szCs w:val="20"/>
          <w:lang w:val="en-GB" w:eastAsia="it-IT"/>
        </w:rPr>
        <w:t>im</w:t>
      </w:r>
      <w:r w:rsidRPr="00A47F52">
        <w:rPr>
          <w:rFonts w:ascii="Times New Roman" w:eastAsia="Times New Roman" w:hAnsi="Times New Roman" w:cs="Times New Roman"/>
          <w:noProof/>
          <w:sz w:val="20"/>
          <w:szCs w:val="20"/>
          <w:lang w:val="en-GB" w:eastAsia="it-IT"/>
        </w:rPr>
        <w:t xml:space="preserve"> tests (one per module) and non-attending students who take the exam in a single s</w:t>
      </w:r>
      <w:r>
        <w:rPr>
          <w:rFonts w:ascii="Times New Roman" w:eastAsia="Times New Roman" w:hAnsi="Times New Roman" w:cs="Times New Roman"/>
          <w:noProof/>
          <w:sz w:val="20"/>
          <w:szCs w:val="20"/>
          <w:lang w:val="en-GB" w:eastAsia="it-IT"/>
        </w:rPr>
        <w:t>ession</w:t>
      </w:r>
      <w:r w:rsidRPr="00EF07E4">
        <w:rPr>
          <w:rFonts w:ascii="Times New Roman" w:eastAsia="Times New Roman" w:hAnsi="Times New Roman" w:cs="Times New Roman"/>
          <w:noProof/>
          <w:sz w:val="20"/>
          <w:szCs w:val="20"/>
          <w:lang w:val="en-GB" w:eastAsia="it-IT"/>
        </w:rPr>
        <w:t>.</w:t>
      </w:r>
    </w:p>
    <w:p w14:paraId="43BCC76B" w14:textId="77777777" w:rsidR="00A5145F" w:rsidRPr="00EF07E4" w:rsidRDefault="00A5145F" w:rsidP="00A5145F">
      <w:pPr>
        <w:spacing w:after="0" w:line="220" w:lineRule="exact"/>
        <w:jc w:val="both"/>
        <w:rPr>
          <w:rFonts w:ascii="Times New Roman" w:eastAsia="Times New Roman" w:hAnsi="Times New Roman" w:cs="Times New Roman"/>
          <w:noProof/>
          <w:sz w:val="20"/>
          <w:szCs w:val="20"/>
          <w:lang w:val="en-GB" w:eastAsia="it-IT"/>
        </w:rPr>
      </w:pPr>
    </w:p>
    <w:p w14:paraId="3C3B1CA1" w14:textId="77777777" w:rsidR="00A5145F" w:rsidRPr="00EF07E4" w:rsidRDefault="00A5145F" w:rsidP="00A5145F">
      <w:pPr>
        <w:spacing w:after="0" w:line="220" w:lineRule="exact"/>
        <w:jc w:val="both"/>
        <w:rPr>
          <w:rFonts w:ascii="Times New Roman" w:eastAsia="Times New Roman" w:hAnsi="Times New Roman" w:cs="Times New Roman"/>
          <w:noProof/>
          <w:sz w:val="20"/>
          <w:szCs w:val="20"/>
          <w:lang w:val="en-GB" w:eastAsia="it-IT"/>
        </w:rPr>
      </w:pPr>
      <w:r w:rsidRPr="00BF0ACD">
        <w:rPr>
          <w:rFonts w:ascii="Times New Roman" w:eastAsia="Times New Roman" w:hAnsi="Times New Roman" w:cs="Times New Roman"/>
          <w:noProof/>
          <w:sz w:val="20"/>
          <w:szCs w:val="20"/>
          <w:lang w:val="en-GB" w:eastAsia="it-IT"/>
        </w:rPr>
        <w:t>The first group of students will have to answer two questions in each of the inter</w:t>
      </w:r>
      <w:r>
        <w:rPr>
          <w:rFonts w:ascii="Times New Roman" w:eastAsia="Times New Roman" w:hAnsi="Times New Roman" w:cs="Times New Roman"/>
          <w:noProof/>
          <w:sz w:val="20"/>
          <w:szCs w:val="20"/>
          <w:lang w:val="en-GB" w:eastAsia="it-IT"/>
        </w:rPr>
        <w:t>im</w:t>
      </w:r>
      <w:r w:rsidRPr="00BF0ACD">
        <w:rPr>
          <w:rFonts w:ascii="Times New Roman" w:eastAsia="Times New Roman" w:hAnsi="Times New Roman" w:cs="Times New Roman"/>
          <w:noProof/>
          <w:sz w:val="20"/>
          <w:szCs w:val="20"/>
          <w:lang w:val="en-GB" w:eastAsia="it-IT"/>
        </w:rPr>
        <w:t xml:space="preserve"> tests (to be chosen among four). The time for each inter</w:t>
      </w:r>
      <w:r>
        <w:rPr>
          <w:rFonts w:ascii="Times New Roman" w:eastAsia="Times New Roman" w:hAnsi="Times New Roman" w:cs="Times New Roman"/>
          <w:noProof/>
          <w:sz w:val="20"/>
          <w:szCs w:val="20"/>
          <w:lang w:val="en-GB" w:eastAsia="it-IT"/>
        </w:rPr>
        <w:t>im</w:t>
      </w:r>
      <w:r w:rsidRPr="00BF0ACD">
        <w:rPr>
          <w:rFonts w:ascii="Times New Roman" w:eastAsia="Times New Roman" w:hAnsi="Times New Roman" w:cs="Times New Roman"/>
          <w:noProof/>
          <w:sz w:val="20"/>
          <w:szCs w:val="20"/>
          <w:lang w:val="en-GB" w:eastAsia="it-IT"/>
        </w:rPr>
        <w:t xml:space="preserve"> test is </w:t>
      </w:r>
      <w:r w:rsidRPr="00EF07E4">
        <w:rPr>
          <w:rFonts w:ascii="Times New Roman" w:eastAsia="Times New Roman" w:hAnsi="Times New Roman" w:cs="Times New Roman"/>
          <w:noProof/>
          <w:sz w:val="20"/>
          <w:szCs w:val="20"/>
          <w:lang w:val="en-GB" w:eastAsia="it-IT"/>
        </w:rPr>
        <w:t>90’.</w:t>
      </w:r>
    </w:p>
    <w:p w14:paraId="175222A7" w14:textId="7F9EB32A" w:rsidR="00D71683" w:rsidRPr="00686045" w:rsidRDefault="00D71683" w:rsidP="00D71683">
      <w:pPr>
        <w:spacing w:after="0" w:line="220" w:lineRule="exact"/>
        <w:jc w:val="both"/>
        <w:rPr>
          <w:rFonts w:ascii="Times New Roman" w:eastAsia="Times New Roman" w:hAnsi="Times New Roman" w:cs="Times New Roman"/>
          <w:noProof/>
          <w:sz w:val="20"/>
          <w:szCs w:val="20"/>
          <w:lang w:eastAsia="it-IT"/>
        </w:rPr>
      </w:pPr>
    </w:p>
    <w:sectPr w:rsidR="00D71683" w:rsidRPr="0068604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DD5"/>
    <w:multiLevelType w:val="hybridMultilevel"/>
    <w:tmpl w:val="09A8D7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60072A"/>
    <w:multiLevelType w:val="hybridMultilevel"/>
    <w:tmpl w:val="18583E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EA63A8"/>
    <w:multiLevelType w:val="hybridMultilevel"/>
    <w:tmpl w:val="E1FAB7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433EB2"/>
    <w:multiLevelType w:val="hybridMultilevel"/>
    <w:tmpl w:val="D01EA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D73164"/>
    <w:multiLevelType w:val="multilevel"/>
    <w:tmpl w:val="0590B1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7D2750E"/>
    <w:multiLevelType w:val="multilevel"/>
    <w:tmpl w:val="CA2C767E"/>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720" w:hanging="72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080" w:hanging="108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6" w15:restartNumberingAfterBreak="0">
    <w:nsid w:val="7C726A51"/>
    <w:multiLevelType w:val="hybridMultilevel"/>
    <w:tmpl w:val="D55A8F0E"/>
    <w:lvl w:ilvl="0" w:tplc="B706DF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DE35252"/>
    <w:multiLevelType w:val="hybridMultilevel"/>
    <w:tmpl w:val="91061FCE"/>
    <w:lvl w:ilvl="0" w:tplc="4B36C1E2">
      <w:numFmt w:val="bullet"/>
      <w:lvlText w:val="-"/>
      <w:lvlJc w:val="left"/>
      <w:pPr>
        <w:tabs>
          <w:tab w:val="num" w:pos="1429"/>
        </w:tabs>
        <w:ind w:left="1429" w:hanging="360"/>
      </w:pPr>
      <w:rPr>
        <w:rFont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16cid:durableId="278297518">
    <w:abstractNumId w:val="3"/>
  </w:num>
  <w:num w:numId="2" w16cid:durableId="627512374">
    <w:abstractNumId w:val="5"/>
  </w:num>
  <w:num w:numId="3" w16cid:durableId="1084691099">
    <w:abstractNumId w:val="6"/>
  </w:num>
  <w:num w:numId="4" w16cid:durableId="1553929679">
    <w:abstractNumId w:val="2"/>
  </w:num>
  <w:num w:numId="5" w16cid:durableId="770005362">
    <w:abstractNumId w:val="0"/>
  </w:num>
  <w:num w:numId="6" w16cid:durableId="838815768">
    <w:abstractNumId w:val="1"/>
  </w:num>
  <w:num w:numId="7" w16cid:durableId="636374030">
    <w:abstractNumId w:val="7"/>
  </w:num>
  <w:num w:numId="8" w16cid:durableId="17620274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836"/>
    <w:rsid w:val="00016FB0"/>
    <w:rsid w:val="000C5079"/>
    <w:rsid w:val="001037F2"/>
    <w:rsid w:val="0014329D"/>
    <w:rsid w:val="005833F2"/>
    <w:rsid w:val="005D1EEE"/>
    <w:rsid w:val="00686045"/>
    <w:rsid w:val="00691109"/>
    <w:rsid w:val="006A0836"/>
    <w:rsid w:val="007B5B8B"/>
    <w:rsid w:val="00A5145F"/>
    <w:rsid w:val="00AA5DBE"/>
    <w:rsid w:val="00B940AD"/>
    <w:rsid w:val="00B973A6"/>
    <w:rsid w:val="00D25DB7"/>
    <w:rsid w:val="00D71683"/>
    <w:rsid w:val="00DD4B90"/>
    <w:rsid w:val="00F408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A042"/>
  <w15:chartTrackingRefBased/>
  <w15:docId w15:val="{9AE8DB94-7453-0249-A2E3-A2D28910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0836"/>
    <w:pPr>
      <w:spacing w:after="160" w:line="259" w:lineRule="auto"/>
    </w:pPr>
    <w:rPr>
      <w:kern w:val="0"/>
      <w:sz w:val="22"/>
      <w:szCs w:val="22"/>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329D"/>
    <w:pPr>
      <w:ind w:left="720"/>
      <w:contextualSpacing/>
    </w:pPr>
  </w:style>
  <w:style w:type="character" w:styleId="Collegamentoipertestuale">
    <w:name w:val="Hyperlink"/>
    <w:basedOn w:val="Carpredefinitoparagrafo"/>
    <w:uiPriority w:val="99"/>
    <w:unhideWhenUsed/>
    <w:rsid w:val="000C50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16/j.esr.2022.1009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07/978-3-031-10302-5_5" TargetMode="External"/><Relationship Id="rId5" Type="http://schemas.openxmlformats.org/officeDocument/2006/relationships/hyperlink" Target="https://doi.org/10.1016/j.ecolecon.2019.10637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962</Words>
  <Characters>5490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Guastella, Giovanni</dc:creator>
  <cp:keywords/>
  <dc:description/>
  <cp:lastModifiedBy>Cappa Marzia</cp:lastModifiedBy>
  <cp:revision>6</cp:revision>
  <dcterms:created xsi:type="dcterms:W3CDTF">2023-06-22T10:50:00Z</dcterms:created>
  <dcterms:modified xsi:type="dcterms:W3CDTF">2024-01-19T09:18:00Z</dcterms:modified>
</cp:coreProperties>
</file>