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4CFC0" w14:textId="77777777" w:rsidR="005D3D71" w:rsidRPr="000B0C0E" w:rsidRDefault="005D3D71" w:rsidP="005D3D71">
      <w:pPr>
        <w:pStyle w:val="Titolo1"/>
        <w:spacing w:before="0" w:line="240" w:lineRule="auto"/>
        <w:rPr>
          <w:u w:val="single"/>
          <w:lang w:val="en-US"/>
        </w:rPr>
      </w:pPr>
      <w:r w:rsidRPr="000B0C0E">
        <w:rPr>
          <w:lang w:val="en-US"/>
        </w:rPr>
        <w:t>Banking and Public Management</w:t>
      </w:r>
    </w:p>
    <w:p w14:paraId="6AA2ACF9" w14:textId="77777777" w:rsidR="005D3D71" w:rsidRPr="00943AF3" w:rsidRDefault="005D3D71" w:rsidP="005D3D71">
      <w:pPr>
        <w:pStyle w:val="Titolo2"/>
        <w:spacing w:line="240" w:lineRule="auto"/>
      </w:pPr>
      <w:r>
        <w:rPr>
          <w:lang w:val="en-US"/>
        </w:rPr>
        <w:t xml:space="preserve">Prof. </w:t>
      </w:r>
      <w:r w:rsidRPr="00943AF3">
        <w:t>Simone Rossi</w:t>
      </w:r>
      <w:r>
        <w:t xml:space="preserve"> and Prof. </w:t>
      </w:r>
      <w:r w:rsidRPr="00943AF3">
        <w:t>Elena Zuffada</w:t>
      </w:r>
    </w:p>
    <w:p w14:paraId="7DD2BD73" w14:textId="77777777" w:rsidR="005D3D71" w:rsidRDefault="005D3D71" w:rsidP="005D3D71">
      <w:pPr>
        <w:spacing w:line="240" w:lineRule="exact"/>
        <w:ind w:right="1418"/>
        <w:jc w:val="both"/>
        <w:rPr>
          <w:rFonts w:ascii="Times" w:hAnsi="Times"/>
          <w:b/>
          <w:sz w:val="18"/>
          <w:szCs w:val="18"/>
          <w:lang w:val="en-GB"/>
        </w:rPr>
      </w:pPr>
    </w:p>
    <w:p w14:paraId="18BAD253" w14:textId="77777777" w:rsidR="005D3D71" w:rsidRPr="00E80BE2" w:rsidRDefault="005D3D71" w:rsidP="005D3D71">
      <w:pPr>
        <w:spacing w:line="240" w:lineRule="exact"/>
        <w:ind w:right="1418"/>
        <w:jc w:val="both"/>
        <w:rPr>
          <w:rFonts w:ascii="Times" w:hAnsi="Times"/>
          <w:b/>
          <w:sz w:val="20"/>
          <w:szCs w:val="20"/>
          <w:lang w:val="en-GB"/>
        </w:rPr>
      </w:pPr>
      <w:r w:rsidRPr="00E80BE2">
        <w:rPr>
          <w:rFonts w:ascii="Times" w:hAnsi="Times"/>
          <w:b/>
          <w:sz w:val="18"/>
          <w:szCs w:val="18"/>
          <w:lang w:val="en-GB"/>
        </w:rPr>
        <w:t>Module I –</w:t>
      </w:r>
      <w:r w:rsidRPr="00E80BE2">
        <w:rPr>
          <w:rFonts w:ascii="Times" w:hAnsi="Times"/>
          <w:b/>
          <w:sz w:val="20"/>
          <w:szCs w:val="20"/>
          <w:lang w:val="en-GB"/>
        </w:rPr>
        <w:t xml:space="preserve"> Banking</w:t>
      </w:r>
    </w:p>
    <w:p w14:paraId="52238335" w14:textId="77777777" w:rsidR="005D3D71" w:rsidRPr="00996530" w:rsidRDefault="005D3D71" w:rsidP="005D3D71">
      <w:pPr>
        <w:rPr>
          <w:rFonts w:ascii="Times" w:hAnsi="Times"/>
          <w:smallCaps/>
          <w:sz w:val="18"/>
          <w:szCs w:val="18"/>
          <w:lang w:val="en-US"/>
        </w:rPr>
      </w:pPr>
      <w:r>
        <w:rPr>
          <w:rFonts w:ascii="Times" w:hAnsi="Times"/>
          <w:smallCaps/>
          <w:sz w:val="18"/>
          <w:szCs w:val="18"/>
          <w:lang w:val="en-US"/>
        </w:rPr>
        <w:t>Prof. Simone Rossi</w:t>
      </w:r>
    </w:p>
    <w:p w14:paraId="7F4C82DD" w14:textId="77777777" w:rsidR="005D3D71" w:rsidRDefault="005D3D71" w:rsidP="005D3D71">
      <w:pPr>
        <w:pStyle w:val="Titolo1"/>
        <w:spacing w:before="0" w:line="240" w:lineRule="auto"/>
        <w:rPr>
          <w:lang w:val="en-US"/>
        </w:rPr>
      </w:pPr>
    </w:p>
    <w:p w14:paraId="5EA676FD" w14:textId="46C284E1" w:rsidR="00D32C67" w:rsidRDefault="00D32C67" w:rsidP="00D32C67">
      <w:pPr>
        <w:spacing w:before="120"/>
        <w:rPr>
          <w:b/>
          <w:i/>
          <w:sz w:val="18"/>
          <w:szCs w:val="18"/>
          <w:lang w:val="en-US"/>
        </w:rPr>
      </w:pPr>
      <w:r>
        <w:rPr>
          <w:b/>
          <w:i/>
          <w:sz w:val="18"/>
          <w:szCs w:val="18"/>
          <w:lang w:val="en-US"/>
        </w:rPr>
        <w:t>COURSE AIMS AND INTENDED LEARNING OUTCOMES</w:t>
      </w:r>
    </w:p>
    <w:p w14:paraId="332FA5CC" w14:textId="77777777" w:rsidR="00D32C67" w:rsidRPr="00D32C67" w:rsidRDefault="00D32C67" w:rsidP="00D32C67">
      <w:pPr>
        <w:spacing w:before="120"/>
        <w:rPr>
          <w:rFonts w:ascii="Times" w:hAnsi="Times"/>
          <w:noProof/>
          <w:sz w:val="18"/>
          <w:szCs w:val="20"/>
          <w:lang w:val="en-US"/>
        </w:rPr>
      </w:pPr>
      <w:r w:rsidRPr="00D32C67">
        <w:rPr>
          <w:rFonts w:ascii="Times" w:hAnsi="Times"/>
          <w:noProof/>
          <w:sz w:val="18"/>
          <w:szCs w:val="20"/>
          <w:lang w:val="en-US"/>
        </w:rPr>
        <w:t>The course aims to help students acquire theoretical and applied tools in order to understand the functions of the financial system, as well as the role of the different financial intermediaries. There is a special focus on the topic of banking regulation and on organisational and strategic innovations that are reshaping the financial sector.</w:t>
      </w:r>
    </w:p>
    <w:p w14:paraId="45F84D70" w14:textId="77777777" w:rsidR="00D32C67" w:rsidRPr="00D32C67" w:rsidRDefault="00D32C67" w:rsidP="00D32C67">
      <w:pPr>
        <w:spacing w:before="120"/>
        <w:rPr>
          <w:rFonts w:ascii="Times" w:hAnsi="Times"/>
          <w:noProof/>
          <w:sz w:val="18"/>
          <w:szCs w:val="20"/>
          <w:lang w:val="en-US"/>
        </w:rPr>
      </w:pPr>
      <w:r w:rsidRPr="00D32C67">
        <w:rPr>
          <w:rFonts w:ascii="Times" w:hAnsi="Times"/>
          <w:noProof/>
          <w:sz w:val="18"/>
          <w:szCs w:val="20"/>
          <w:lang w:val="en-US"/>
        </w:rPr>
        <w:t>At the end of the course, students will have acquired:</w:t>
      </w:r>
    </w:p>
    <w:p w14:paraId="61BFA2B8" w14:textId="77777777" w:rsidR="00D32C67" w:rsidRPr="00D32C67" w:rsidRDefault="00D32C67" w:rsidP="00D32C67">
      <w:pPr>
        <w:numPr>
          <w:ilvl w:val="0"/>
          <w:numId w:val="13"/>
        </w:numPr>
        <w:tabs>
          <w:tab w:val="num" w:pos="142"/>
        </w:tabs>
        <w:spacing w:line="240" w:lineRule="exact"/>
        <w:ind w:hanging="1069"/>
        <w:jc w:val="both"/>
        <w:rPr>
          <w:rFonts w:ascii="Times" w:hAnsi="Times"/>
          <w:noProof/>
          <w:sz w:val="18"/>
          <w:szCs w:val="20"/>
          <w:lang w:val="en-US"/>
        </w:rPr>
      </w:pPr>
      <w:r w:rsidRPr="00D32C67">
        <w:rPr>
          <w:rFonts w:ascii="Times" w:hAnsi="Times"/>
          <w:noProof/>
          <w:sz w:val="18"/>
          <w:szCs w:val="20"/>
          <w:lang w:val="en-US"/>
        </w:rPr>
        <w:t>an awareness of the main actors in the financial system;</w:t>
      </w:r>
    </w:p>
    <w:p w14:paraId="0FD24F4E" w14:textId="77777777" w:rsidR="00D32C67" w:rsidRPr="00D32C67" w:rsidRDefault="00D32C67" w:rsidP="00D32C67">
      <w:pPr>
        <w:numPr>
          <w:ilvl w:val="0"/>
          <w:numId w:val="13"/>
        </w:numPr>
        <w:tabs>
          <w:tab w:val="num" w:pos="142"/>
          <w:tab w:val="left" w:pos="284"/>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financial system’s role within the economic system; </w:t>
      </w:r>
    </w:p>
    <w:p w14:paraId="12390A60" w14:textId="77777777" w:rsidR="00D32C67" w:rsidRPr="00D32C67" w:rsidRDefault="00D32C67" w:rsidP="00D32C67">
      <w:pPr>
        <w:numPr>
          <w:ilvl w:val="0"/>
          <w:numId w:val="13"/>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determining factors of the continuous evolution of financial systems, of their components and of the single intermediaries operating inside them; </w:t>
      </w:r>
    </w:p>
    <w:p w14:paraId="314FD0B4" w14:textId="77777777" w:rsidR="00D32C67" w:rsidRPr="00D32C67" w:rsidRDefault="00D32C67" w:rsidP="00D32C67">
      <w:pPr>
        <w:numPr>
          <w:ilvl w:val="0"/>
          <w:numId w:val="13"/>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understanding of the development paths of bank regulation and its impact on strategic choices of financial intermediaries; </w:t>
      </w:r>
    </w:p>
    <w:p w14:paraId="5E065C56" w14:textId="77777777" w:rsidR="00D32C67" w:rsidRPr="00D32C67" w:rsidRDefault="00D32C67" w:rsidP="00D32C67">
      <w:pPr>
        <w:numPr>
          <w:ilvl w:val="0"/>
          <w:numId w:val="13"/>
        </w:numPr>
        <w:tabs>
          <w:tab w:val="num" w:pos="142"/>
        </w:tabs>
        <w:spacing w:line="240" w:lineRule="exact"/>
        <w:ind w:left="142" w:hanging="142"/>
        <w:jc w:val="both"/>
        <w:rPr>
          <w:rFonts w:ascii="Times" w:hAnsi="Times"/>
          <w:noProof/>
          <w:sz w:val="18"/>
          <w:szCs w:val="20"/>
          <w:lang w:val="en-US"/>
        </w:rPr>
      </w:pPr>
      <w:r w:rsidRPr="00D32C67">
        <w:rPr>
          <w:rFonts w:ascii="Times" w:hAnsi="Times"/>
          <w:noProof/>
          <w:sz w:val="18"/>
          <w:szCs w:val="20"/>
          <w:lang w:val="en-US"/>
        </w:rPr>
        <w:t xml:space="preserve">the ability to evaluate and measure a bank’s profitability, efficiency and financial soundness indicators. </w:t>
      </w:r>
    </w:p>
    <w:p w14:paraId="35112C01" w14:textId="77777777" w:rsidR="00D32C67" w:rsidRPr="00D32C67" w:rsidRDefault="00D32C67" w:rsidP="00D32C67">
      <w:pPr>
        <w:rPr>
          <w:rFonts w:ascii="Times" w:hAnsi="Times"/>
          <w:noProof/>
          <w:sz w:val="18"/>
          <w:szCs w:val="20"/>
          <w:lang w:val="en-US"/>
        </w:rPr>
      </w:pPr>
    </w:p>
    <w:p w14:paraId="6ED1F741"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COURSE CONTENT</w:t>
      </w:r>
    </w:p>
    <w:p w14:paraId="0807711A" w14:textId="77777777" w:rsidR="00D32C67" w:rsidRPr="00D32C67" w:rsidRDefault="00D32C67" w:rsidP="00D32C67">
      <w:pPr>
        <w:rPr>
          <w:rFonts w:ascii="Times" w:hAnsi="Times"/>
          <w:noProof/>
          <w:sz w:val="18"/>
          <w:szCs w:val="20"/>
          <w:lang w:val="en-US"/>
        </w:rPr>
      </w:pPr>
    </w:p>
    <w:p w14:paraId="208AA8EC"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The course covers the following topics:</w:t>
      </w:r>
    </w:p>
    <w:p w14:paraId="027F1B3D"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 Structure and development of the financial system: the fundamentals of the financial system and of its functions.</w:t>
      </w:r>
    </w:p>
    <w:p w14:paraId="61449ACC"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 xml:space="preserve">- Theoretical outline of financial intermediation: the types of financial intermediaries and banks’ specific role. </w:t>
      </w:r>
    </w:p>
    <w:p w14:paraId="1FF36153"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 xml:space="preserve">- The functions of banks: providers of financial services, monetary functions and instruments for the transmission of monetary policy stimulus. </w:t>
      </w:r>
    </w:p>
    <w:p w14:paraId="56E97622"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 The regulation of the financial system, the control instruments and the role of Supervisory Authorities.</w:t>
      </w:r>
    </w:p>
    <w:p w14:paraId="5565CD0B" w14:textId="77777777" w:rsidR="00D32C67" w:rsidRPr="00D32C67" w:rsidRDefault="00D32C67" w:rsidP="00D32C67">
      <w:pPr>
        <w:rPr>
          <w:rFonts w:ascii="Times" w:hAnsi="Times"/>
          <w:noProof/>
          <w:sz w:val="18"/>
          <w:szCs w:val="20"/>
          <w:lang w:val="en-US"/>
        </w:rPr>
      </w:pPr>
      <w:r w:rsidRPr="00D32C67">
        <w:rPr>
          <w:rFonts w:ascii="Times" w:hAnsi="Times"/>
          <w:noProof/>
          <w:sz w:val="18"/>
          <w:szCs w:val="20"/>
          <w:lang w:val="en-US"/>
        </w:rPr>
        <w:t xml:space="preserve">- The. organisational models that can be adopted by financial intermediaries. </w:t>
      </w:r>
    </w:p>
    <w:p w14:paraId="3D77FEE8" w14:textId="77777777" w:rsidR="00D32C67" w:rsidRDefault="00D32C67" w:rsidP="00D32C67"/>
    <w:p w14:paraId="3F7AD0F0" w14:textId="77777777" w:rsidR="00D32C67" w:rsidRDefault="00D32C67" w:rsidP="00D32C67">
      <w:pPr>
        <w:pStyle w:val="Testo1"/>
        <w:rPr>
          <w:b/>
          <w:i/>
          <w:lang w:val="en-US"/>
        </w:rPr>
      </w:pPr>
      <w:r>
        <w:rPr>
          <w:b/>
          <w:i/>
          <w:lang w:val="en-US"/>
        </w:rPr>
        <w:t xml:space="preserve"> READING LIST</w:t>
      </w:r>
    </w:p>
    <w:p w14:paraId="65AE6C0A" w14:textId="77777777" w:rsidR="00D32C67" w:rsidRDefault="00D32C67" w:rsidP="00D32C67">
      <w:pPr>
        <w:pStyle w:val="Testo1"/>
        <w:rPr>
          <w:b/>
          <w:i/>
          <w:lang w:val="en-US"/>
        </w:rPr>
      </w:pPr>
    </w:p>
    <w:p w14:paraId="6F73A834" w14:textId="77777777" w:rsidR="00D32C67" w:rsidRDefault="00D32C67" w:rsidP="00D32C67">
      <w:pPr>
        <w:pStyle w:val="Testo1"/>
        <w:rPr>
          <w:b/>
          <w:i/>
          <w:smallCaps/>
          <w:szCs w:val="18"/>
          <w:lang w:val="en-US"/>
        </w:rPr>
      </w:pPr>
      <w:r>
        <w:rPr>
          <w:lang w:val="en-US"/>
        </w:rPr>
        <w:t>Compulsory text:</w:t>
      </w:r>
    </w:p>
    <w:p w14:paraId="4308B44C" w14:textId="77777777" w:rsidR="00D32C67" w:rsidRDefault="00D32C67" w:rsidP="00D32C67">
      <w:pPr>
        <w:pStyle w:val="Testo1"/>
      </w:pPr>
      <w:r>
        <w:rPr>
          <w:smallCaps/>
          <w:sz w:val="16"/>
          <w:szCs w:val="16"/>
          <w:lang w:val="en-US"/>
        </w:rPr>
        <w:t xml:space="preserve">A. Banfi-M. </w:t>
      </w:r>
      <w:r>
        <w:rPr>
          <w:smallCaps/>
          <w:sz w:val="16"/>
          <w:szCs w:val="16"/>
        </w:rPr>
        <w:t>Biasin-M. Oriani-G.M. Raggetti</w:t>
      </w:r>
      <w:r>
        <w:t xml:space="preserve">, </w:t>
      </w:r>
      <w:r>
        <w:rPr>
          <w:i/>
          <w:iCs/>
        </w:rPr>
        <w:t>Economia degli intermediari finanziari (fourth edition)</w:t>
      </w:r>
      <w:r>
        <w:t>, Isedi, 2022.</w:t>
      </w:r>
    </w:p>
    <w:p w14:paraId="3FF9A68B" w14:textId="77777777" w:rsidR="00D32C67" w:rsidRDefault="00D32C67" w:rsidP="00D32C67">
      <w:pPr>
        <w:pStyle w:val="Testo1"/>
        <w:rPr>
          <w:lang w:val="en-US"/>
        </w:rPr>
      </w:pPr>
      <w:r>
        <w:rPr>
          <w:lang w:val="en-US"/>
        </w:rPr>
        <w:t>Text recommeded for further in-depth study on the subject of banking transactions:</w:t>
      </w:r>
    </w:p>
    <w:p w14:paraId="677701A7" w14:textId="77777777" w:rsidR="00D32C67" w:rsidRDefault="00D32C67" w:rsidP="00D32C67">
      <w:pPr>
        <w:pStyle w:val="Testo1"/>
        <w:tabs>
          <w:tab w:val="left" w:pos="567"/>
        </w:tabs>
        <w:rPr>
          <w:spacing w:val="-5"/>
        </w:rPr>
      </w:pPr>
      <w:r>
        <w:rPr>
          <w:smallCaps/>
          <w:spacing w:val="-5"/>
          <w:sz w:val="16"/>
        </w:rPr>
        <w:t>M. Borroni-M. Oriani,</w:t>
      </w:r>
      <w:r>
        <w:rPr>
          <w:i/>
          <w:spacing w:val="-5"/>
        </w:rPr>
        <w:t xml:space="preserve"> </w:t>
      </w:r>
      <w:r>
        <w:rPr>
          <w:i/>
          <w:iCs/>
          <w:spacing w:val="-5"/>
        </w:rPr>
        <w:t>Le operazioni bancarie</w:t>
      </w:r>
      <w:r>
        <w:rPr>
          <w:i/>
          <w:spacing w:val="-5"/>
        </w:rPr>
        <w:t>,</w:t>
      </w:r>
      <w:r>
        <w:rPr>
          <w:spacing w:val="-5"/>
        </w:rPr>
        <w:t xml:space="preserve"> Il Mulino, Bologna, 2020.</w:t>
      </w:r>
    </w:p>
    <w:p w14:paraId="5B8757BB" w14:textId="77777777" w:rsidR="00D32C67" w:rsidRDefault="00D32C67" w:rsidP="00D32C67">
      <w:pPr>
        <w:pStyle w:val="Testo1"/>
        <w:rPr>
          <w:iCs/>
        </w:rPr>
      </w:pPr>
    </w:p>
    <w:p w14:paraId="723D88A2" w14:textId="77777777" w:rsidR="00D32C67" w:rsidRDefault="00D32C67" w:rsidP="00D32C67">
      <w:pPr>
        <w:pStyle w:val="Testo2"/>
        <w:ind w:firstLine="0"/>
        <w:rPr>
          <w:b/>
          <w:i/>
          <w:szCs w:val="18"/>
          <w:lang w:val="en-US"/>
        </w:rPr>
      </w:pPr>
      <w:r>
        <w:rPr>
          <w:b/>
          <w:i/>
          <w:szCs w:val="18"/>
          <w:lang w:val="en-US"/>
        </w:rPr>
        <w:lastRenderedPageBreak/>
        <w:t>TEACHING METHOD</w:t>
      </w:r>
    </w:p>
    <w:p w14:paraId="3DAF97AD" w14:textId="77777777" w:rsidR="00D32C67" w:rsidRDefault="00D32C67" w:rsidP="00D32C67">
      <w:pPr>
        <w:pStyle w:val="Testo2"/>
        <w:ind w:firstLine="0"/>
        <w:rPr>
          <w:b/>
          <w:i/>
          <w:szCs w:val="18"/>
          <w:lang w:val="en-US"/>
        </w:rPr>
      </w:pPr>
    </w:p>
    <w:p w14:paraId="145AA62F" w14:textId="77777777" w:rsidR="00D32C67" w:rsidRDefault="00D32C67" w:rsidP="00D32C67">
      <w:pPr>
        <w:pStyle w:val="Testo2"/>
        <w:ind w:firstLine="0"/>
        <w:rPr>
          <w:lang w:val="en-US"/>
        </w:rPr>
      </w:pPr>
      <w:r>
        <w:rPr>
          <w:lang w:val="en-US"/>
        </w:rPr>
        <w:t xml:space="preserve">In the course active teaching methods are used based on frontal lectures in the classroom and on guided exercises aimed at the analysis of financial intermediaries’ financial statements, on seminars and corporate presentations.  </w:t>
      </w:r>
    </w:p>
    <w:p w14:paraId="74A626D9" w14:textId="77777777" w:rsidR="00D32C67" w:rsidRDefault="00D32C67" w:rsidP="00D32C67">
      <w:pPr>
        <w:pStyle w:val="Testo2"/>
        <w:ind w:firstLine="0"/>
        <w:rPr>
          <w:lang w:val="en-US"/>
        </w:rPr>
      </w:pPr>
    </w:p>
    <w:p w14:paraId="252D4181" w14:textId="77777777" w:rsidR="00D32C67" w:rsidRDefault="00D32C67" w:rsidP="00D32C67">
      <w:pPr>
        <w:pStyle w:val="Testo2"/>
        <w:ind w:firstLine="0"/>
        <w:rPr>
          <w:rFonts w:ascii="Times New Roman" w:hAnsi="Times New Roman"/>
          <w:b/>
          <w:i/>
          <w:szCs w:val="24"/>
          <w:lang w:val="en-US"/>
        </w:rPr>
      </w:pPr>
      <w:r>
        <w:rPr>
          <w:rFonts w:ascii="Times New Roman" w:hAnsi="Times New Roman"/>
          <w:b/>
          <w:i/>
          <w:szCs w:val="24"/>
          <w:lang w:val="en-US"/>
        </w:rPr>
        <w:t>ASSESSMENT METHOD AND CRITERIA</w:t>
      </w:r>
    </w:p>
    <w:p w14:paraId="5436B047" w14:textId="77777777" w:rsidR="00D32C67" w:rsidRDefault="00D32C67" w:rsidP="00D32C67">
      <w:pPr>
        <w:pStyle w:val="Testo2"/>
        <w:ind w:firstLine="0"/>
        <w:rPr>
          <w:rFonts w:ascii="Times New Roman" w:hAnsi="Times New Roman"/>
          <w:b/>
          <w:i/>
          <w:szCs w:val="24"/>
          <w:lang w:val="en-US"/>
        </w:rPr>
      </w:pPr>
    </w:p>
    <w:p w14:paraId="51157965" w14:textId="77777777" w:rsidR="00D32C67" w:rsidRDefault="00D32C67" w:rsidP="00D32C67">
      <w:pPr>
        <w:pStyle w:val="Testo2"/>
        <w:ind w:firstLine="0"/>
        <w:rPr>
          <w:lang w:val="en-US"/>
        </w:rPr>
      </w:pPr>
      <w:r>
        <w:rPr>
          <w:lang w:val="en-US"/>
        </w:rPr>
        <w:t xml:space="preserve">The exam consists in a written  test, normally including: </w:t>
      </w:r>
    </w:p>
    <w:p w14:paraId="3FDEFD38" w14:textId="77777777" w:rsidR="00D32C67" w:rsidRDefault="00D32C67" w:rsidP="00D32C67">
      <w:pPr>
        <w:pStyle w:val="Testo2"/>
        <w:numPr>
          <w:ilvl w:val="0"/>
          <w:numId w:val="13"/>
        </w:numPr>
        <w:ind w:left="284" w:hanging="284"/>
        <w:rPr>
          <w:lang w:val="en-US"/>
        </w:rPr>
      </w:pPr>
      <w:r>
        <w:rPr>
          <w:lang w:val="en-US"/>
        </w:rPr>
        <w:t>4 open questions (each with a maximum mark ranging from 5 to 8 points, depending on the complexity of the assessed knowledge/skills)</w:t>
      </w:r>
    </w:p>
    <w:p w14:paraId="68A52BE7" w14:textId="77777777" w:rsidR="00D32C67" w:rsidRDefault="00D32C67" w:rsidP="00D32C67">
      <w:pPr>
        <w:pStyle w:val="Testo2"/>
        <w:numPr>
          <w:ilvl w:val="0"/>
          <w:numId w:val="13"/>
        </w:numPr>
        <w:ind w:left="284" w:hanging="284"/>
        <w:rPr>
          <w:lang w:val="en-US"/>
        </w:rPr>
      </w:pPr>
      <w:r>
        <w:rPr>
          <w:lang w:val="en-US"/>
        </w:rPr>
        <w:t xml:space="preserve">5 multiple choice questions and/or true/false (each marked one if correct and zero if  skipped or wrong). </w:t>
      </w:r>
    </w:p>
    <w:p w14:paraId="23921F9A" w14:textId="77777777" w:rsidR="00D32C67" w:rsidRDefault="00D32C67" w:rsidP="00D32C67">
      <w:pPr>
        <w:pStyle w:val="Testo2"/>
        <w:ind w:firstLine="0"/>
        <w:rPr>
          <w:szCs w:val="21"/>
          <w:lang w:val="en-US"/>
        </w:rPr>
      </w:pPr>
      <w:r>
        <w:rPr>
          <w:szCs w:val="21"/>
          <w:lang w:val="en-US"/>
        </w:rPr>
        <w:t xml:space="preserve">The assessment criteria for the open questions will include presentation clarity and efficacy; pertinent answers, proficiency in the use of the technical lexicon, comprehensive arguments.  </w:t>
      </w:r>
    </w:p>
    <w:p w14:paraId="37D312E4" w14:textId="77777777" w:rsidR="00D32C67" w:rsidRDefault="00D32C67" w:rsidP="00D32C67">
      <w:pPr>
        <w:pStyle w:val="Testo2"/>
        <w:ind w:firstLine="0"/>
        <w:rPr>
          <w:szCs w:val="21"/>
          <w:lang w:val="en-US"/>
        </w:rPr>
      </w:pPr>
      <w:r>
        <w:rPr>
          <w:szCs w:val="21"/>
          <w:lang w:val="en-US"/>
        </w:rPr>
        <w:t>The pass mark is 18/30.</w:t>
      </w:r>
    </w:p>
    <w:p w14:paraId="3788744B" w14:textId="77777777" w:rsidR="00D32C67" w:rsidRDefault="00D32C67" w:rsidP="00D32C67">
      <w:pPr>
        <w:pStyle w:val="Testo2"/>
        <w:ind w:firstLine="0"/>
        <w:rPr>
          <w:lang w:val="en-US"/>
        </w:rPr>
      </w:pPr>
      <w:r>
        <w:rPr>
          <w:lang w:val="en-US"/>
        </w:rPr>
        <w:t xml:space="preserve">For further information, students should refer to what is written on the Blackboard in the relevant  “Exam Guide” available in the  “Materials” section, on the page dedicated to the course.  </w:t>
      </w:r>
    </w:p>
    <w:p w14:paraId="08E23552" w14:textId="77777777" w:rsidR="00D32C67" w:rsidRDefault="00D32C67" w:rsidP="00D32C67">
      <w:pPr>
        <w:spacing w:after="120"/>
        <w:rPr>
          <w:b/>
          <w:i/>
          <w:smallCaps/>
          <w:sz w:val="18"/>
          <w:szCs w:val="18"/>
          <w:lang w:val="en-GB"/>
        </w:rPr>
      </w:pPr>
    </w:p>
    <w:p w14:paraId="6924369F" w14:textId="77777777" w:rsidR="00D32C67" w:rsidRDefault="00D32C67" w:rsidP="00D32C67">
      <w:pPr>
        <w:pStyle w:val="Testo2"/>
        <w:ind w:firstLine="0"/>
        <w:rPr>
          <w:rFonts w:ascii="Times New Roman" w:hAnsi="Times New Roman"/>
          <w:b/>
          <w:i/>
          <w:szCs w:val="24"/>
          <w:lang w:val="en-US"/>
        </w:rPr>
      </w:pPr>
      <w:r>
        <w:rPr>
          <w:rFonts w:ascii="Times New Roman" w:hAnsi="Times New Roman"/>
          <w:b/>
          <w:i/>
          <w:szCs w:val="24"/>
          <w:lang w:val="en-US"/>
        </w:rPr>
        <w:t>NOTES AND PREREQUISITES</w:t>
      </w:r>
    </w:p>
    <w:p w14:paraId="2D505591" w14:textId="77777777" w:rsidR="00D32C67" w:rsidRDefault="00D32C67" w:rsidP="00D32C67">
      <w:pPr>
        <w:pStyle w:val="Testo2"/>
        <w:ind w:firstLine="0"/>
        <w:rPr>
          <w:rFonts w:ascii="Times New Roman" w:hAnsi="Times New Roman"/>
          <w:b/>
          <w:i/>
          <w:szCs w:val="24"/>
          <w:lang w:val="en-US"/>
        </w:rPr>
      </w:pPr>
    </w:p>
    <w:p w14:paraId="7DEF736A" w14:textId="77777777" w:rsidR="00D32C67" w:rsidRDefault="00D32C67" w:rsidP="00D32C67">
      <w:pPr>
        <w:pStyle w:val="Testo2"/>
        <w:ind w:firstLine="0"/>
        <w:rPr>
          <w:lang w:val="en-US"/>
        </w:rPr>
      </w:pPr>
      <w:r>
        <w:rPr>
          <w:lang w:val="en-US"/>
        </w:rPr>
        <w:t>During lessons the lecturer will point out the parts of the reading list that students must study in order to prepare for the exam.</w:t>
      </w:r>
      <w:r>
        <w:rPr>
          <w:iCs/>
          <w:lang w:val="en-US"/>
        </w:rPr>
        <w:t xml:space="preserve"> Support material and updates will be available on </w:t>
      </w:r>
      <w:r>
        <w:rPr>
          <w:lang w:val="en-US"/>
        </w:rPr>
        <w:t>Blackboard.</w:t>
      </w:r>
    </w:p>
    <w:p w14:paraId="662B9E3E" w14:textId="77777777" w:rsidR="00D32C67" w:rsidRDefault="00D32C67" w:rsidP="00D32C67">
      <w:pPr>
        <w:pStyle w:val="Testo2"/>
        <w:ind w:firstLine="0"/>
        <w:rPr>
          <w:lang w:val="en-US"/>
        </w:rPr>
      </w:pPr>
      <w:r>
        <w:rPr>
          <w:lang w:val="en-US"/>
        </w:rPr>
        <w:t>Students are strongly advised to attend, even though it is not compulsory.</w:t>
      </w:r>
    </w:p>
    <w:p w14:paraId="3262B0BA" w14:textId="77777777" w:rsidR="00D32C67" w:rsidRDefault="00D32C67" w:rsidP="00D32C67">
      <w:pPr>
        <w:pStyle w:val="Testo2"/>
        <w:ind w:firstLine="0"/>
        <w:rPr>
          <w:lang w:val="en-US"/>
        </w:rPr>
      </w:pPr>
      <w:r>
        <w:rPr>
          <w:lang w:val="en-US"/>
        </w:rPr>
        <w:t xml:space="preserve">There are no specific prerequisites in order for students to attend the course; nevertheless, it will be useful for students to have prior knowledge of rules for drawing up a balance sheet, of corporate finance and of the organisational models which companies may choose to adopt. Students are expected to have an interest in and intellectual curiosity for course topics. </w:t>
      </w:r>
    </w:p>
    <w:p w14:paraId="0F22A13F" w14:textId="77777777" w:rsidR="00D32C67" w:rsidRDefault="00D32C67" w:rsidP="00D32C67">
      <w:pPr>
        <w:rPr>
          <w:b/>
          <w:bCs/>
          <w:iCs/>
          <w:lang w:val="en-GB"/>
        </w:rPr>
      </w:pPr>
    </w:p>
    <w:p w14:paraId="3E90A0EA" w14:textId="77777777" w:rsidR="00D32C67" w:rsidRDefault="00D32C67" w:rsidP="00D32C67">
      <w:pPr>
        <w:rPr>
          <w:sz w:val="18"/>
          <w:szCs w:val="18"/>
        </w:rPr>
      </w:pPr>
      <w:r>
        <w:rPr>
          <w:sz w:val="18"/>
          <w:szCs w:val="18"/>
        </w:rPr>
        <w:t xml:space="preserve">Information on office hours </w:t>
      </w:r>
      <w:proofErr w:type="spellStart"/>
      <w:r>
        <w:rPr>
          <w:sz w:val="18"/>
          <w:szCs w:val="18"/>
        </w:rPr>
        <w:t>available</w:t>
      </w:r>
      <w:proofErr w:type="spellEnd"/>
      <w:r>
        <w:rPr>
          <w:sz w:val="18"/>
          <w:szCs w:val="18"/>
        </w:rPr>
        <w:t xml:space="preserve"> on the </w:t>
      </w:r>
      <w:proofErr w:type="spellStart"/>
      <w:r>
        <w:rPr>
          <w:sz w:val="18"/>
          <w:szCs w:val="18"/>
        </w:rPr>
        <w:t>teacher's</w:t>
      </w:r>
      <w:proofErr w:type="spellEnd"/>
      <w:r>
        <w:rPr>
          <w:sz w:val="18"/>
          <w:szCs w:val="18"/>
        </w:rPr>
        <w:t xml:space="preserve"> personal page </w:t>
      </w:r>
      <w:proofErr w:type="spellStart"/>
      <w:r>
        <w:rPr>
          <w:sz w:val="18"/>
          <w:szCs w:val="18"/>
        </w:rPr>
        <w:t>at</w:t>
      </w:r>
      <w:proofErr w:type="spellEnd"/>
      <w:r>
        <w:rPr>
          <w:sz w:val="18"/>
          <w:szCs w:val="18"/>
        </w:rPr>
        <w:t xml:space="preserve"> </w:t>
      </w:r>
      <w:hyperlink r:id="rId8" w:history="1">
        <w:r>
          <w:rPr>
            <w:rStyle w:val="Collegamentoipertestuale"/>
            <w:sz w:val="18"/>
            <w:szCs w:val="18"/>
            <w:lang w:val="en-US"/>
          </w:rPr>
          <w:t>http://docenti.unicatt.it/</w:t>
        </w:r>
      </w:hyperlink>
      <w:r>
        <w:rPr>
          <w:sz w:val="18"/>
          <w:szCs w:val="18"/>
        </w:rPr>
        <w:t>.</w:t>
      </w:r>
    </w:p>
    <w:p w14:paraId="4D79FF3C" w14:textId="77777777" w:rsidR="00D32C67" w:rsidRDefault="00D32C67" w:rsidP="00D32C67">
      <w:pPr>
        <w:rPr>
          <w:b/>
          <w:bCs/>
          <w:iCs/>
          <w:sz w:val="20"/>
          <w:szCs w:val="20"/>
        </w:rPr>
      </w:pPr>
    </w:p>
    <w:p w14:paraId="2F10A59F" w14:textId="11B8B426" w:rsidR="00D32C67" w:rsidRDefault="00D32C67" w:rsidP="00082EFE">
      <w:pPr>
        <w:pStyle w:val="Titolo1"/>
        <w:spacing w:before="0" w:line="240" w:lineRule="auto"/>
        <w:rPr>
          <w:lang w:val="en-US"/>
        </w:rPr>
      </w:pPr>
    </w:p>
    <w:p w14:paraId="75E3D1D2" w14:textId="3FF55216" w:rsidR="007C5A00" w:rsidRDefault="007C5A00" w:rsidP="007C5A00">
      <w:pPr>
        <w:pStyle w:val="Titolo2"/>
        <w:rPr>
          <w:lang w:val="en-US"/>
        </w:rPr>
      </w:pPr>
    </w:p>
    <w:p w14:paraId="415AE5F1" w14:textId="5734211F" w:rsidR="007C5A00" w:rsidRDefault="007C5A00" w:rsidP="007C5A00">
      <w:pPr>
        <w:pStyle w:val="Titolo3"/>
        <w:rPr>
          <w:lang w:val="en-US"/>
        </w:rPr>
      </w:pPr>
    </w:p>
    <w:p w14:paraId="05E7828C" w14:textId="1D87F7FF" w:rsidR="007C5A00" w:rsidRDefault="007C5A00" w:rsidP="007C5A00">
      <w:pPr>
        <w:rPr>
          <w:lang w:val="en-US"/>
        </w:rPr>
      </w:pPr>
    </w:p>
    <w:p w14:paraId="0441C1E4" w14:textId="69B7E98B" w:rsidR="007C5A00" w:rsidRDefault="007C5A00" w:rsidP="007C5A00">
      <w:pPr>
        <w:rPr>
          <w:lang w:val="en-US"/>
        </w:rPr>
      </w:pPr>
    </w:p>
    <w:p w14:paraId="4F876FA8" w14:textId="19D36B08" w:rsidR="007C5A00" w:rsidRDefault="007C5A00" w:rsidP="007C5A00">
      <w:pPr>
        <w:rPr>
          <w:lang w:val="en-US"/>
        </w:rPr>
      </w:pPr>
    </w:p>
    <w:p w14:paraId="5EBDD411" w14:textId="77777777" w:rsidR="007C5A00" w:rsidRPr="007C5A00" w:rsidRDefault="007C5A00" w:rsidP="007C5A00">
      <w:pPr>
        <w:rPr>
          <w:lang w:val="en-US"/>
        </w:rPr>
      </w:pPr>
      <w:bookmarkStart w:id="0" w:name="_GoBack"/>
      <w:bookmarkEnd w:id="0"/>
    </w:p>
    <w:p w14:paraId="0533C4EB" w14:textId="65F637DF" w:rsidR="00082EFE" w:rsidRPr="000B0C0E" w:rsidRDefault="00D32C67" w:rsidP="00082EFE">
      <w:pPr>
        <w:pStyle w:val="Titolo1"/>
        <w:spacing w:before="0" w:line="240" w:lineRule="auto"/>
        <w:rPr>
          <w:u w:val="single"/>
          <w:lang w:val="en-US"/>
        </w:rPr>
      </w:pPr>
      <w:r>
        <w:rPr>
          <w:b w:val="0"/>
        </w:rPr>
        <w:lastRenderedPageBreak/>
        <w:t xml:space="preserve">Module II </w:t>
      </w:r>
      <w:r w:rsidR="00082EFE" w:rsidRPr="000B0C0E">
        <w:rPr>
          <w:lang w:val="en-US"/>
        </w:rPr>
        <w:t>Public Management</w:t>
      </w:r>
    </w:p>
    <w:p w14:paraId="2E162FA2" w14:textId="783A9EDF" w:rsidR="00082EFE" w:rsidRPr="007F758E" w:rsidRDefault="00082EFE" w:rsidP="00082EFE">
      <w:pPr>
        <w:pStyle w:val="Titolo2"/>
        <w:spacing w:line="240" w:lineRule="auto"/>
        <w:rPr>
          <w:lang w:val="en-US"/>
        </w:rPr>
      </w:pPr>
      <w:r w:rsidRPr="007F758E">
        <w:rPr>
          <w:lang w:val="en-US"/>
        </w:rPr>
        <w:t>Prof. Elena Zuffada</w:t>
      </w:r>
    </w:p>
    <w:p w14:paraId="0151B8FB" w14:textId="387D0F8F" w:rsidR="00013590" w:rsidRDefault="00013590" w:rsidP="00013590">
      <w:pPr>
        <w:spacing w:before="240" w:after="120"/>
        <w:ind w:right="27"/>
        <w:rPr>
          <w:b/>
          <w:sz w:val="18"/>
          <w:lang w:val="en-GB"/>
        </w:rPr>
      </w:pPr>
      <w:r>
        <w:rPr>
          <w:b/>
          <w:i/>
          <w:sz w:val="18"/>
          <w:lang w:val="en-GB"/>
        </w:rPr>
        <w:t>COURSE AIMS</w:t>
      </w:r>
      <w:r w:rsidR="00943AF3" w:rsidRPr="00943AF3">
        <w:rPr>
          <w:rFonts w:ascii="Times" w:hAnsi="Times"/>
          <w:b/>
          <w:i/>
          <w:sz w:val="18"/>
          <w:szCs w:val="20"/>
          <w:lang w:val="en-US"/>
        </w:rPr>
        <w:t xml:space="preserve"> </w:t>
      </w:r>
      <w:r w:rsidR="00943AF3" w:rsidRPr="00EA7E5D">
        <w:rPr>
          <w:rFonts w:ascii="Times" w:hAnsi="Times"/>
          <w:b/>
          <w:i/>
          <w:sz w:val="18"/>
          <w:szCs w:val="20"/>
          <w:lang w:val="en-US"/>
        </w:rPr>
        <w:t>AND INTENDED LEARNING OUTCOMES</w:t>
      </w:r>
    </w:p>
    <w:p w14:paraId="37322450" w14:textId="77777777" w:rsidR="00013590" w:rsidRDefault="00013590" w:rsidP="00013590">
      <w:pPr>
        <w:rPr>
          <w:sz w:val="20"/>
          <w:szCs w:val="20"/>
          <w:lang w:val="en-GB"/>
        </w:rPr>
      </w:pPr>
      <w:r>
        <w:rPr>
          <w:sz w:val="20"/>
          <w:szCs w:val="20"/>
          <w:lang w:val="en-GB"/>
        </w:rPr>
        <w:t>The course aims:</w:t>
      </w:r>
    </w:p>
    <w:p w14:paraId="19A7F492" w14:textId="77777777" w:rsidR="00013590" w:rsidRDefault="00013590" w:rsidP="00013590">
      <w:pPr>
        <w:numPr>
          <w:ilvl w:val="0"/>
          <w:numId w:val="9"/>
        </w:numPr>
        <w:tabs>
          <w:tab w:val="left" w:pos="284"/>
        </w:tabs>
        <w:spacing w:line="240" w:lineRule="exact"/>
        <w:ind w:left="0" w:firstLine="0"/>
        <w:jc w:val="both"/>
        <w:rPr>
          <w:sz w:val="20"/>
          <w:szCs w:val="20"/>
          <w:lang w:val="en-GB"/>
        </w:rPr>
      </w:pPr>
      <w:r>
        <w:rPr>
          <w:sz w:val="20"/>
          <w:szCs w:val="20"/>
          <w:lang w:val="en-GB"/>
        </w:rPr>
        <w:t>to apply the conceptual formats of business economics to the specific context of public administrations in order to examine the organisational dynamics and operational issues and measure results in relation thereto;</w:t>
      </w:r>
    </w:p>
    <w:p w14:paraId="5B5E4C5F" w14:textId="77777777" w:rsidR="00013590" w:rsidRDefault="00013590" w:rsidP="00013590">
      <w:pPr>
        <w:numPr>
          <w:ilvl w:val="0"/>
          <w:numId w:val="9"/>
        </w:numPr>
        <w:tabs>
          <w:tab w:val="left" w:pos="284"/>
        </w:tabs>
        <w:spacing w:line="240" w:lineRule="exact"/>
        <w:ind w:left="0" w:firstLine="0"/>
        <w:jc w:val="both"/>
        <w:rPr>
          <w:sz w:val="20"/>
          <w:szCs w:val="20"/>
          <w:lang w:val="en-GB"/>
        </w:rPr>
      </w:pPr>
      <w:r>
        <w:rPr>
          <w:sz w:val="20"/>
          <w:szCs w:val="20"/>
          <w:lang w:val="en-GB"/>
        </w:rPr>
        <w:t xml:space="preserve">to analyse the development of the role of public administrations within modern economic systems. </w:t>
      </w:r>
    </w:p>
    <w:p w14:paraId="69F67BE9" w14:textId="77777777" w:rsidR="00013590" w:rsidRDefault="00013590" w:rsidP="00013590">
      <w:pPr>
        <w:rPr>
          <w:sz w:val="20"/>
          <w:szCs w:val="20"/>
          <w:lang w:val="en-GB"/>
        </w:rPr>
      </w:pPr>
      <w:r>
        <w:rPr>
          <w:sz w:val="20"/>
          <w:szCs w:val="20"/>
          <w:lang w:val="en-GB"/>
        </w:rPr>
        <w:t>The students are expected to acquire:</w:t>
      </w:r>
    </w:p>
    <w:p w14:paraId="2FFC7F40"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t>An adequate understanding of the role and relative weight of the public system's performance vis-à-vis a nation's competitiveness.</w:t>
      </w:r>
    </w:p>
    <w:p w14:paraId="04AA796B"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t>An in-depth understanding of how public administrations are run at a national and international level.</w:t>
      </w:r>
    </w:p>
    <w:p w14:paraId="1B00B612" w14:textId="77777777" w:rsidR="00013590" w:rsidRDefault="00013590" w:rsidP="00013590">
      <w:pPr>
        <w:numPr>
          <w:ilvl w:val="0"/>
          <w:numId w:val="10"/>
        </w:numPr>
        <w:tabs>
          <w:tab w:val="clear" w:pos="720"/>
          <w:tab w:val="left" w:pos="708"/>
        </w:tabs>
        <w:spacing w:line="240" w:lineRule="exact"/>
        <w:ind w:left="0" w:firstLine="0"/>
        <w:jc w:val="both"/>
        <w:rPr>
          <w:sz w:val="20"/>
          <w:szCs w:val="20"/>
          <w:lang w:val="en-GB"/>
        </w:rPr>
      </w:pPr>
      <w:r>
        <w:rPr>
          <w:sz w:val="20"/>
          <w:szCs w:val="20"/>
          <w:lang w:val="en-GB"/>
        </w:rPr>
        <w:t>The capacity to analyse and tackle public management issues in order to identify the range for action and the tools with respect to modernizing Italy's public administration.</w:t>
      </w:r>
    </w:p>
    <w:p w14:paraId="05558CDC" w14:textId="77777777" w:rsidR="00013590" w:rsidRDefault="00013590" w:rsidP="00013590">
      <w:pPr>
        <w:rPr>
          <w:sz w:val="20"/>
          <w:szCs w:val="20"/>
          <w:lang w:val="en-GB"/>
        </w:rPr>
      </w:pPr>
    </w:p>
    <w:p w14:paraId="3E098FDD" w14:textId="77777777" w:rsidR="00013590" w:rsidRDefault="00013590" w:rsidP="00013590">
      <w:pPr>
        <w:spacing w:before="240" w:after="120"/>
        <w:rPr>
          <w:b/>
          <w:sz w:val="18"/>
          <w:lang w:val="en-GB"/>
        </w:rPr>
      </w:pPr>
      <w:r>
        <w:rPr>
          <w:b/>
          <w:i/>
          <w:sz w:val="18"/>
          <w:lang w:val="en-GB"/>
        </w:rPr>
        <w:t>COURSE CONTENT</w:t>
      </w:r>
    </w:p>
    <w:p w14:paraId="0FE0F71E"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General overview of the public sector.</w:t>
      </w:r>
    </w:p>
    <w:p w14:paraId="4474E79B"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The role of public administrations in respect to a country’s competitiveness.</w:t>
      </w:r>
    </w:p>
    <w:p w14:paraId="53E5F781"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Historical evolution of public entities: from the exercise of powers vested by government authorities to the supply of services and regulation of the economic-social system.</w:t>
      </w:r>
    </w:p>
    <w:p w14:paraId="3854F3AB"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Potential and limits for applying business logic to the management of public administrations.</w:t>
      </w:r>
    </w:p>
    <w:p w14:paraId="2E14BEDD"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Characteristics of public entities and the repercussions thereof on management.</w:t>
      </w:r>
    </w:p>
    <w:p w14:paraId="6CEAF2A8"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The relationships between central government and local administrations: decentralisation vs. autonomy.</w:t>
      </w:r>
    </w:p>
    <w:p w14:paraId="0C6C1716"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Traditional and innovative sources of funding.</w:t>
      </w:r>
    </w:p>
    <w:p w14:paraId="29BE6ACE"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Organisational choices and HR management systems.</w:t>
      </w:r>
    </w:p>
    <w:p w14:paraId="09142314"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Accounting and reporting in the public sector:  the move from cash to accrual, the relevance of management accounting.</w:t>
      </w:r>
    </w:p>
    <w:p w14:paraId="64925941" w14:textId="77777777"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From administrative checks to management control: how to increase managerial accountability.</w:t>
      </w:r>
    </w:p>
    <w:p w14:paraId="3B19D91C" w14:textId="55EBF4FD" w:rsidR="00013590" w:rsidRDefault="00013590" w:rsidP="00013590">
      <w:pPr>
        <w:numPr>
          <w:ilvl w:val="0"/>
          <w:numId w:val="11"/>
        </w:numPr>
        <w:tabs>
          <w:tab w:val="left" w:pos="284"/>
        </w:tabs>
        <w:spacing w:line="240" w:lineRule="exact"/>
        <w:ind w:left="0" w:firstLine="0"/>
        <w:jc w:val="both"/>
        <w:rPr>
          <w:sz w:val="20"/>
          <w:szCs w:val="20"/>
          <w:lang w:val="en-GB"/>
        </w:rPr>
      </w:pPr>
      <w:r>
        <w:rPr>
          <w:sz w:val="20"/>
          <w:szCs w:val="20"/>
          <w:lang w:val="en-GB"/>
        </w:rPr>
        <w:t>Cha</w:t>
      </w:r>
      <w:r w:rsidR="00972A70">
        <w:rPr>
          <w:sz w:val="20"/>
          <w:szCs w:val="20"/>
          <w:lang w:val="en-GB"/>
        </w:rPr>
        <w:t>nge management in public entities, and related cha</w:t>
      </w:r>
      <w:r>
        <w:rPr>
          <w:sz w:val="20"/>
          <w:szCs w:val="20"/>
          <w:lang w:val="en-GB"/>
        </w:rPr>
        <w:t>llenges for public managers.</w:t>
      </w:r>
    </w:p>
    <w:p w14:paraId="1D54E637" w14:textId="77777777" w:rsidR="00972A70" w:rsidRPr="00972A70" w:rsidRDefault="00972A70" w:rsidP="00972A70">
      <w:pPr>
        <w:tabs>
          <w:tab w:val="left" w:pos="284"/>
        </w:tabs>
        <w:spacing w:line="240" w:lineRule="exact"/>
        <w:jc w:val="both"/>
        <w:rPr>
          <w:sz w:val="20"/>
          <w:szCs w:val="20"/>
          <w:lang w:val="en-GB"/>
        </w:rPr>
      </w:pPr>
      <w:r w:rsidRPr="00972A70">
        <w:rPr>
          <w:sz w:val="20"/>
          <w:szCs w:val="20"/>
          <w:lang w:val="en-GB"/>
        </w:rPr>
        <w:lastRenderedPageBreak/>
        <w:t>The syllabus with the course timetable and the list of learning materials will be posted on Blackboard.</w:t>
      </w:r>
    </w:p>
    <w:p w14:paraId="5994BB0F" w14:textId="77777777" w:rsidR="00972A70" w:rsidRDefault="00972A70" w:rsidP="00013590">
      <w:pPr>
        <w:tabs>
          <w:tab w:val="left" w:pos="284"/>
        </w:tabs>
        <w:spacing w:line="240" w:lineRule="exact"/>
        <w:jc w:val="both"/>
        <w:rPr>
          <w:sz w:val="20"/>
          <w:szCs w:val="20"/>
          <w:lang w:val="en-GB"/>
        </w:rPr>
      </w:pPr>
    </w:p>
    <w:p w14:paraId="58EEFFA2" w14:textId="77777777" w:rsidR="00013590" w:rsidRPr="007F758E" w:rsidRDefault="00013590" w:rsidP="00013590">
      <w:pPr>
        <w:keepNext/>
        <w:spacing w:before="240" w:after="120"/>
        <w:rPr>
          <w:b/>
          <w:sz w:val="18"/>
        </w:rPr>
      </w:pPr>
      <w:r w:rsidRPr="007F758E">
        <w:rPr>
          <w:b/>
          <w:i/>
          <w:sz w:val="18"/>
        </w:rPr>
        <w:t>READING LIST</w:t>
      </w:r>
    </w:p>
    <w:p w14:paraId="63D1E27C" w14:textId="77777777" w:rsidR="00013590" w:rsidRDefault="00013590" w:rsidP="00013590">
      <w:pPr>
        <w:tabs>
          <w:tab w:val="left" w:pos="708"/>
        </w:tabs>
        <w:spacing w:line="220" w:lineRule="exact"/>
        <w:rPr>
          <w:noProof/>
          <w:sz w:val="18"/>
          <w:szCs w:val="18"/>
        </w:rPr>
      </w:pPr>
      <w:r>
        <w:rPr>
          <w:smallCaps/>
          <w:noProof/>
          <w:sz w:val="16"/>
          <w:szCs w:val="16"/>
        </w:rPr>
        <w:t>E. Zuffada</w:t>
      </w:r>
      <w:r>
        <w:rPr>
          <w:noProof/>
          <w:sz w:val="18"/>
        </w:rPr>
        <w:t xml:space="preserve">, </w:t>
      </w:r>
      <w:r>
        <w:rPr>
          <w:i/>
          <w:noProof/>
          <w:sz w:val="18"/>
          <w:szCs w:val="18"/>
        </w:rPr>
        <w:t>Una pubblica amministrazione che funziona per la crescita del Paese. Cultura, strumenti e condizioni per un reale cambiamento</w:t>
      </w:r>
      <w:r>
        <w:rPr>
          <w:noProof/>
          <w:sz w:val="18"/>
          <w:szCs w:val="18"/>
        </w:rPr>
        <w:t>, Vita e Pensiero, Milano, 2012.</w:t>
      </w:r>
    </w:p>
    <w:p w14:paraId="05EA99D3" w14:textId="77777777" w:rsidR="00013590" w:rsidRDefault="00013590" w:rsidP="00013590">
      <w:pPr>
        <w:tabs>
          <w:tab w:val="left" w:pos="708"/>
        </w:tabs>
        <w:spacing w:line="220" w:lineRule="exact"/>
        <w:rPr>
          <w:noProof/>
          <w:sz w:val="18"/>
          <w:szCs w:val="18"/>
        </w:rPr>
      </w:pPr>
    </w:p>
    <w:p w14:paraId="141BE0E9" w14:textId="1D4A5F17" w:rsidR="00013590" w:rsidRDefault="00013590" w:rsidP="00013590">
      <w:pPr>
        <w:spacing w:before="240" w:after="120" w:line="220" w:lineRule="exact"/>
        <w:rPr>
          <w:b/>
          <w:i/>
          <w:sz w:val="18"/>
          <w:szCs w:val="20"/>
          <w:lang w:val="en-US"/>
        </w:rPr>
      </w:pPr>
      <w:r>
        <w:rPr>
          <w:b/>
          <w:i/>
          <w:sz w:val="18"/>
          <w:lang w:val="en-US"/>
        </w:rPr>
        <w:t>TEACHING METHOD</w:t>
      </w:r>
      <w:r w:rsidR="00E964D8" w:rsidRPr="00E964D8">
        <w:rPr>
          <w:rFonts w:ascii="Times" w:hAnsi="Times"/>
          <w:b/>
          <w:i/>
          <w:sz w:val="18"/>
          <w:szCs w:val="20"/>
          <w:lang w:val="en-US"/>
        </w:rPr>
        <w:t xml:space="preserve"> </w:t>
      </w:r>
    </w:p>
    <w:p w14:paraId="3A1FD19D" w14:textId="77777777" w:rsidR="00972A70" w:rsidRPr="00460272" w:rsidRDefault="00013590" w:rsidP="00972A70">
      <w:pPr>
        <w:pStyle w:val="Testo2"/>
        <w:tabs>
          <w:tab w:val="left" w:pos="284"/>
        </w:tabs>
        <w:rPr>
          <w:b/>
          <w:i/>
          <w:lang w:val="en-GB"/>
        </w:rPr>
      </w:pPr>
      <w:r>
        <w:rPr>
          <w:lang w:val="en-US"/>
        </w:rPr>
        <w:t>With an emphasis on developing the theoretical and practical understanding of public administrations and tack</w:t>
      </w:r>
      <w:r>
        <w:rPr>
          <w:lang w:val="en-GB"/>
        </w:rPr>
        <w:t>ling current issues in managing public-sector companies, a combination of teaching methods is contemplated (lectures on theory, class discussion of case studies, discussions with professionals in the field and business games)</w:t>
      </w:r>
      <w:r w:rsidR="00972A70">
        <w:rPr>
          <w:lang w:val="en-GB"/>
        </w:rPr>
        <w:t xml:space="preserve">, </w:t>
      </w:r>
      <w:r w:rsidR="00972A70">
        <w:rPr>
          <w:noProof w:val="0"/>
          <w:lang w:val="en-GB"/>
        </w:rPr>
        <w:t xml:space="preserve">so to </w:t>
      </w:r>
      <w:r w:rsidR="00972A70">
        <w:rPr>
          <w:lang w:val="en-GB"/>
        </w:rPr>
        <w:t>enrich the analytical skills and the critical attitude of students.</w:t>
      </w:r>
    </w:p>
    <w:p w14:paraId="0C901966" w14:textId="7387C1B9" w:rsidR="00013590" w:rsidRDefault="00013590" w:rsidP="00E964D8">
      <w:pPr>
        <w:tabs>
          <w:tab w:val="left" w:pos="708"/>
        </w:tabs>
        <w:spacing w:line="220" w:lineRule="exact"/>
        <w:jc w:val="both"/>
        <w:rPr>
          <w:sz w:val="18"/>
          <w:lang w:val="en-GB"/>
        </w:rPr>
      </w:pPr>
    </w:p>
    <w:p w14:paraId="0F2B0DDD" w14:textId="77777777" w:rsidR="00013590" w:rsidRDefault="00013590" w:rsidP="00013590">
      <w:pPr>
        <w:tabs>
          <w:tab w:val="left" w:pos="708"/>
        </w:tabs>
        <w:spacing w:line="220" w:lineRule="exact"/>
        <w:rPr>
          <w:sz w:val="18"/>
          <w:lang w:val="en-GB"/>
        </w:rPr>
      </w:pPr>
    </w:p>
    <w:p w14:paraId="01BF866B" w14:textId="1D800B85" w:rsidR="00013590" w:rsidRDefault="00013590" w:rsidP="00013590">
      <w:pPr>
        <w:spacing w:before="240" w:after="120" w:line="220" w:lineRule="exact"/>
        <w:rPr>
          <w:b/>
          <w:i/>
          <w:sz w:val="18"/>
          <w:lang w:val="en-GB"/>
        </w:rPr>
      </w:pPr>
      <w:r>
        <w:rPr>
          <w:b/>
          <w:i/>
          <w:sz w:val="18"/>
          <w:lang w:val="en-GB"/>
        </w:rPr>
        <w:t>ASSESSMENT METHOD</w:t>
      </w:r>
      <w:r w:rsidR="00E964D8" w:rsidRPr="00E964D8">
        <w:rPr>
          <w:rFonts w:ascii="Times" w:hAnsi="Times"/>
          <w:b/>
          <w:i/>
          <w:sz w:val="18"/>
          <w:szCs w:val="20"/>
          <w:lang w:val="en-US"/>
        </w:rPr>
        <w:t xml:space="preserve"> </w:t>
      </w:r>
      <w:r w:rsidR="00E964D8" w:rsidRPr="00EA7E5D">
        <w:rPr>
          <w:rFonts w:ascii="Times" w:hAnsi="Times"/>
          <w:b/>
          <w:i/>
          <w:sz w:val="18"/>
          <w:szCs w:val="20"/>
          <w:lang w:val="en-US"/>
        </w:rPr>
        <w:t>AND CRITERIA</w:t>
      </w:r>
    </w:p>
    <w:p w14:paraId="7DF5A092" w14:textId="77777777" w:rsidR="000B1852" w:rsidRDefault="00013590" w:rsidP="00013590">
      <w:pPr>
        <w:tabs>
          <w:tab w:val="left" w:pos="426"/>
        </w:tabs>
        <w:rPr>
          <w:sz w:val="18"/>
          <w:szCs w:val="18"/>
          <w:lang w:val="en-GB"/>
        </w:rPr>
      </w:pPr>
      <w:r>
        <w:rPr>
          <w:sz w:val="18"/>
          <w:szCs w:val="18"/>
          <w:lang w:val="en-GB"/>
        </w:rPr>
        <w:t xml:space="preserve">Grading will be based on the results of a written test, lasting </w:t>
      </w:r>
      <w:r w:rsidR="004C6217">
        <w:rPr>
          <w:sz w:val="18"/>
          <w:szCs w:val="18"/>
          <w:lang w:val="en-GB"/>
        </w:rPr>
        <w:t>6</w:t>
      </w:r>
      <w:r>
        <w:rPr>
          <w:sz w:val="18"/>
          <w:szCs w:val="18"/>
          <w:lang w:val="en-GB"/>
        </w:rPr>
        <w:t xml:space="preserve">0 minutes. The exam will </w:t>
      </w:r>
      <w:r w:rsidR="000B1852">
        <w:rPr>
          <w:sz w:val="18"/>
          <w:szCs w:val="18"/>
          <w:lang w:val="en-GB"/>
        </w:rPr>
        <w:t>comprise:</w:t>
      </w:r>
    </w:p>
    <w:p w14:paraId="3FE087C1" w14:textId="77777777" w:rsidR="000B1852" w:rsidRDefault="00013590" w:rsidP="00013590">
      <w:pPr>
        <w:numPr>
          <w:ilvl w:val="0"/>
          <w:numId w:val="12"/>
        </w:numPr>
        <w:tabs>
          <w:tab w:val="clear" w:pos="580"/>
          <w:tab w:val="num" w:pos="284"/>
        </w:tabs>
        <w:spacing w:line="240" w:lineRule="exact"/>
        <w:ind w:left="0" w:firstLine="0"/>
        <w:jc w:val="both"/>
        <w:rPr>
          <w:sz w:val="18"/>
          <w:szCs w:val="18"/>
          <w:lang w:val="en-GB"/>
        </w:rPr>
      </w:pPr>
      <w:r>
        <w:rPr>
          <w:sz w:val="18"/>
          <w:szCs w:val="18"/>
          <w:lang w:val="en-GB"/>
        </w:rPr>
        <w:t xml:space="preserve">multiple choice questions </w:t>
      </w:r>
    </w:p>
    <w:p w14:paraId="46DF3080" w14:textId="768755B3" w:rsidR="000B1852" w:rsidRDefault="000B1852" w:rsidP="00013590">
      <w:pPr>
        <w:numPr>
          <w:ilvl w:val="0"/>
          <w:numId w:val="12"/>
        </w:numPr>
        <w:tabs>
          <w:tab w:val="left" w:pos="284"/>
          <w:tab w:val="left" w:pos="426"/>
        </w:tabs>
        <w:spacing w:line="240" w:lineRule="exact"/>
        <w:ind w:left="0" w:firstLine="0"/>
        <w:jc w:val="both"/>
        <w:rPr>
          <w:sz w:val="18"/>
          <w:szCs w:val="18"/>
          <w:lang w:val="en-GB"/>
        </w:rPr>
      </w:pPr>
      <w:r>
        <w:rPr>
          <w:sz w:val="18"/>
          <w:szCs w:val="18"/>
          <w:lang w:val="en-GB"/>
        </w:rPr>
        <w:t>open</w:t>
      </w:r>
      <w:r w:rsidR="00013590">
        <w:rPr>
          <w:sz w:val="18"/>
          <w:szCs w:val="18"/>
          <w:lang w:val="en-GB"/>
        </w:rPr>
        <w:t xml:space="preserve"> questions</w:t>
      </w:r>
      <w:r w:rsidR="0000289E">
        <w:rPr>
          <w:sz w:val="18"/>
          <w:szCs w:val="18"/>
          <w:lang w:val="en-GB"/>
        </w:rPr>
        <w:t>.</w:t>
      </w:r>
    </w:p>
    <w:p w14:paraId="73AC1478" w14:textId="4E80F906" w:rsidR="00013590" w:rsidRDefault="00013590" w:rsidP="00013590">
      <w:pPr>
        <w:rPr>
          <w:rFonts w:ascii="Times" w:hAnsi="Times"/>
          <w:sz w:val="20"/>
          <w:szCs w:val="20"/>
          <w:lang w:val="en-GB"/>
        </w:rPr>
      </w:pPr>
    </w:p>
    <w:p w14:paraId="26B42C1A" w14:textId="77777777" w:rsidR="000B1852" w:rsidRDefault="000B1852" w:rsidP="000B1852">
      <w:pPr>
        <w:tabs>
          <w:tab w:val="left" w:pos="426"/>
        </w:tabs>
        <w:rPr>
          <w:sz w:val="18"/>
          <w:szCs w:val="18"/>
          <w:lang w:val="en-GB"/>
        </w:rPr>
      </w:pPr>
      <w:r>
        <w:rPr>
          <w:sz w:val="18"/>
          <w:szCs w:val="18"/>
          <w:lang w:val="en-GB"/>
        </w:rPr>
        <w:t>The evaluation of the open questions will focus on the clarity of answers, their completeness, their adherence to the question asked, the use of an appropriate language.</w:t>
      </w:r>
    </w:p>
    <w:p w14:paraId="66D2A053" w14:textId="77777777" w:rsidR="000B1852" w:rsidRDefault="000B1852" w:rsidP="000B1852">
      <w:pPr>
        <w:widowControl w:val="0"/>
        <w:tabs>
          <w:tab w:val="left" w:pos="708"/>
        </w:tabs>
        <w:autoSpaceDE w:val="0"/>
        <w:autoSpaceDN w:val="0"/>
        <w:adjustRightInd w:val="0"/>
        <w:jc w:val="both"/>
        <w:rPr>
          <w:bCs/>
          <w:sz w:val="18"/>
          <w:szCs w:val="18"/>
          <w:lang w:val="en-GB"/>
        </w:rPr>
      </w:pPr>
      <w:r w:rsidRPr="0000289E">
        <w:rPr>
          <w:bCs/>
          <w:sz w:val="18"/>
          <w:szCs w:val="18"/>
          <w:lang w:val="en-GB"/>
        </w:rPr>
        <w:t>Pass grades are equal, at least, to 18/30.</w:t>
      </w:r>
    </w:p>
    <w:p w14:paraId="0B53BE32" w14:textId="77777777" w:rsidR="000B1852" w:rsidRPr="00593143" w:rsidRDefault="000B1852" w:rsidP="004C6217">
      <w:pPr>
        <w:widowControl w:val="0"/>
        <w:tabs>
          <w:tab w:val="left" w:pos="708"/>
        </w:tabs>
        <w:autoSpaceDE w:val="0"/>
        <w:autoSpaceDN w:val="0"/>
        <w:adjustRightInd w:val="0"/>
        <w:jc w:val="both"/>
        <w:rPr>
          <w:bCs/>
          <w:sz w:val="18"/>
          <w:szCs w:val="18"/>
          <w:lang w:val="en-GB"/>
        </w:rPr>
      </w:pPr>
    </w:p>
    <w:p w14:paraId="44DE3ACA" w14:textId="77777777" w:rsidR="004C6217" w:rsidRDefault="004C6217" w:rsidP="00013590">
      <w:pPr>
        <w:rPr>
          <w:rFonts w:ascii="Times" w:hAnsi="Times"/>
          <w:sz w:val="20"/>
          <w:szCs w:val="20"/>
          <w:lang w:val="en-GB"/>
        </w:rPr>
      </w:pPr>
    </w:p>
    <w:p w14:paraId="570FC724" w14:textId="77777777" w:rsidR="00E964D8" w:rsidRPr="00EA7E5D" w:rsidRDefault="00E964D8" w:rsidP="00E964D8">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53979495" w14:textId="58303A3D" w:rsidR="00013590" w:rsidRDefault="00013590" w:rsidP="00013590">
      <w:pPr>
        <w:pStyle w:val="Testo2"/>
        <w:spacing w:before="120"/>
        <w:ind w:right="27" w:firstLine="0"/>
        <w:rPr>
          <w:noProof w:val="0"/>
          <w:lang w:val="en-GB"/>
        </w:rPr>
      </w:pPr>
      <w:r>
        <w:rPr>
          <w:noProof w:val="0"/>
          <w:lang w:val="en-GB"/>
        </w:rPr>
        <w:t xml:space="preserve">Information on office hours available on the teacher's personal page at </w:t>
      </w:r>
      <w:hyperlink r:id="rId9" w:history="1">
        <w:r>
          <w:rPr>
            <w:rStyle w:val="Collegamentoipertestuale"/>
            <w:lang w:val="en-US"/>
          </w:rPr>
          <w:t>http://docenti.unicatt.it/</w:t>
        </w:r>
      </w:hyperlink>
      <w:r>
        <w:rPr>
          <w:noProof w:val="0"/>
          <w:lang w:val="en-GB"/>
        </w:rPr>
        <w:t>.</w:t>
      </w:r>
    </w:p>
    <w:p w14:paraId="4D372641" w14:textId="57C35B43" w:rsidR="000B1852" w:rsidRDefault="000B1852" w:rsidP="00013590">
      <w:pPr>
        <w:pStyle w:val="Testo2"/>
        <w:spacing w:before="120"/>
        <w:ind w:right="27" w:firstLine="0"/>
        <w:rPr>
          <w:noProof w:val="0"/>
          <w:lang w:val="en-GB"/>
        </w:rPr>
      </w:pPr>
    </w:p>
    <w:p w14:paraId="604997D2" w14:textId="02523B5E" w:rsidR="000B1852" w:rsidRPr="007F758E" w:rsidRDefault="000B1852" w:rsidP="000B1852">
      <w:pPr>
        <w:pStyle w:val="Testo2"/>
        <w:ind w:firstLine="0"/>
        <w:rPr>
          <w:lang w:val="en-US"/>
        </w:rPr>
      </w:pPr>
      <w:r w:rsidRPr="007F758E">
        <w:rPr>
          <w:lang w:val="en-US"/>
        </w:rPr>
        <w:t>Attending class is warmly advised. Students must have read basic courses in business ecoomics, organisation, accounting, management control.</w:t>
      </w:r>
    </w:p>
    <w:p w14:paraId="62ED217F" w14:textId="77777777" w:rsidR="00E15CD3" w:rsidRDefault="00E15CD3" w:rsidP="00C318D6">
      <w:pPr>
        <w:ind w:right="27"/>
        <w:rPr>
          <w:b/>
          <w:bCs/>
          <w:i/>
          <w:iCs/>
          <w:lang w:val="en-GB"/>
        </w:rPr>
      </w:pPr>
    </w:p>
    <w:sectPr w:rsidR="00E15CD3" w:rsidSect="00C318D6">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A4E"/>
    <w:multiLevelType w:val="hybridMultilevel"/>
    <w:tmpl w:val="522E1CA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6697A"/>
    <w:multiLevelType w:val="singleLevel"/>
    <w:tmpl w:val="C7E8CB74"/>
    <w:lvl w:ilvl="0">
      <w:start w:val="4"/>
      <w:numFmt w:val="bullet"/>
      <w:lvlText w:val="-"/>
      <w:lvlJc w:val="left"/>
      <w:pPr>
        <w:tabs>
          <w:tab w:val="num" w:pos="580"/>
        </w:tabs>
        <w:ind w:left="580" w:hanging="360"/>
      </w:pPr>
    </w:lvl>
  </w:abstractNum>
  <w:abstractNum w:abstractNumId="2"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start w:val="1"/>
      <w:numFmt w:val="bullet"/>
      <w:lvlText w:val="o"/>
      <w:lvlJc w:val="left"/>
      <w:pPr>
        <w:tabs>
          <w:tab w:val="num" w:pos="1440"/>
        </w:tabs>
        <w:ind w:left="1440" w:hanging="360"/>
      </w:pPr>
      <w:rPr>
        <w:rFonts w:ascii="Courier New" w:hAnsi="Courier New" w:cs="Courier New" w:hint="default"/>
      </w:rPr>
    </w:lvl>
    <w:lvl w:ilvl="2" w:tplc="531AA4C0">
      <w:start w:val="1"/>
      <w:numFmt w:val="bullet"/>
      <w:lvlText w:val=""/>
      <w:lvlJc w:val="left"/>
      <w:pPr>
        <w:tabs>
          <w:tab w:val="num" w:pos="2160"/>
        </w:tabs>
        <w:ind w:left="2160" w:hanging="360"/>
      </w:pPr>
      <w:rPr>
        <w:rFonts w:ascii="Wingdings" w:hAnsi="Wingdings" w:hint="default"/>
      </w:rPr>
    </w:lvl>
    <w:lvl w:ilvl="3" w:tplc="DF2AFC9A">
      <w:start w:val="1"/>
      <w:numFmt w:val="bullet"/>
      <w:lvlText w:val=""/>
      <w:lvlJc w:val="left"/>
      <w:pPr>
        <w:tabs>
          <w:tab w:val="num" w:pos="2880"/>
        </w:tabs>
        <w:ind w:left="2880" w:hanging="360"/>
      </w:pPr>
      <w:rPr>
        <w:rFonts w:ascii="Symbol" w:hAnsi="Symbol" w:hint="default"/>
      </w:rPr>
    </w:lvl>
    <w:lvl w:ilvl="4" w:tplc="5AA4CF06">
      <w:start w:val="1"/>
      <w:numFmt w:val="bullet"/>
      <w:lvlText w:val="o"/>
      <w:lvlJc w:val="left"/>
      <w:pPr>
        <w:tabs>
          <w:tab w:val="num" w:pos="3600"/>
        </w:tabs>
        <w:ind w:left="3600" w:hanging="360"/>
      </w:pPr>
      <w:rPr>
        <w:rFonts w:ascii="Courier New" w:hAnsi="Courier New" w:cs="Courier New" w:hint="default"/>
      </w:rPr>
    </w:lvl>
    <w:lvl w:ilvl="5" w:tplc="93FE18B4">
      <w:start w:val="1"/>
      <w:numFmt w:val="bullet"/>
      <w:lvlText w:val=""/>
      <w:lvlJc w:val="left"/>
      <w:pPr>
        <w:tabs>
          <w:tab w:val="num" w:pos="4320"/>
        </w:tabs>
        <w:ind w:left="4320" w:hanging="360"/>
      </w:pPr>
      <w:rPr>
        <w:rFonts w:ascii="Wingdings" w:hAnsi="Wingdings" w:hint="default"/>
      </w:rPr>
    </w:lvl>
    <w:lvl w:ilvl="6" w:tplc="2FF63A56">
      <w:start w:val="1"/>
      <w:numFmt w:val="bullet"/>
      <w:lvlText w:val=""/>
      <w:lvlJc w:val="left"/>
      <w:pPr>
        <w:tabs>
          <w:tab w:val="num" w:pos="5040"/>
        </w:tabs>
        <w:ind w:left="5040" w:hanging="360"/>
      </w:pPr>
      <w:rPr>
        <w:rFonts w:ascii="Symbol" w:hAnsi="Symbol" w:hint="default"/>
      </w:rPr>
    </w:lvl>
    <w:lvl w:ilvl="7" w:tplc="4E822362">
      <w:start w:val="1"/>
      <w:numFmt w:val="bullet"/>
      <w:lvlText w:val="o"/>
      <w:lvlJc w:val="left"/>
      <w:pPr>
        <w:tabs>
          <w:tab w:val="num" w:pos="5760"/>
        </w:tabs>
        <w:ind w:left="5760" w:hanging="360"/>
      </w:pPr>
      <w:rPr>
        <w:rFonts w:ascii="Courier New" w:hAnsi="Courier New" w:cs="Courier New" w:hint="default"/>
      </w:rPr>
    </w:lvl>
    <w:lvl w:ilvl="8" w:tplc="CEB44D8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669A0"/>
    <w:multiLevelType w:val="hybridMultilevel"/>
    <w:tmpl w:val="D5EC60D2"/>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03600E"/>
    <w:multiLevelType w:val="singleLevel"/>
    <w:tmpl w:val="7E2CFBC6"/>
    <w:lvl w:ilvl="0">
      <w:start w:val="3"/>
      <w:numFmt w:val="bullet"/>
      <w:pStyle w:val="Titolo9"/>
      <w:lvlText w:val="-"/>
      <w:lvlJc w:val="left"/>
      <w:pPr>
        <w:tabs>
          <w:tab w:val="num" w:pos="644"/>
        </w:tabs>
        <w:ind w:left="644" w:hanging="360"/>
      </w:pPr>
      <w:rPr>
        <w:rFonts w:ascii="Times New Roman" w:hAnsi="Times New Roman" w:cs="Times New Roman" w:hint="default"/>
      </w:rPr>
    </w:lvl>
  </w:abstractNum>
  <w:num w:numId="1">
    <w:abstractNumId w:val="3"/>
  </w:num>
  <w:num w:numId="2">
    <w:abstractNumId w:val="2"/>
  </w:num>
  <w:num w:numId="3">
    <w:abstractNumId w:val="0"/>
  </w:num>
  <w:num w:numId="4">
    <w:abstractNumId w:val="3"/>
  </w:num>
  <w:num w:numId="5">
    <w:abstractNumId w:val="4"/>
  </w:num>
  <w:num w:numId="6">
    <w:abstractNumId w:val="2"/>
  </w:num>
  <w:num w:numId="7">
    <w:abstractNumId w:val="0"/>
  </w:num>
  <w:num w:numId="8">
    <w:abstractNumId w:val="1"/>
  </w:num>
  <w:num w:numId="9">
    <w:abstractNumId w:val="4"/>
  </w:num>
  <w:num w:numId="10">
    <w:abstractNumId w:val="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7"/>
    <w:rsid w:val="0000289E"/>
    <w:rsid w:val="00013590"/>
    <w:rsid w:val="000223A0"/>
    <w:rsid w:val="000372A9"/>
    <w:rsid w:val="00082EFE"/>
    <w:rsid w:val="000A2535"/>
    <w:rsid w:val="000B0C0E"/>
    <w:rsid w:val="000B1852"/>
    <w:rsid w:val="00184B44"/>
    <w:rsid w:val="00194D41"/>
    <w:rsid w:val="00311813"/>
    <w:rsid w:val="003306A7"/>
    <w:rsid w:val="00371576"/>
    <w:rsid w:val="004C6217"/>
    <w:rsid w:val="005D3D71"/>
    <w:rsid w:val="00653BBD"/>
    <w:rsid w:val="00702013"/>
    <w:rsid w:val="00710630"/>
    <w:rsid w:val="00755DDF"/>
    <w:rsid w:val="007607FA"/>
    <w:rsid w:val="007C5A00"/>
    <w:rsid w:val="007F758E"/>
    <w:rsid w:val="00873A51"/>
    <w:rsid w:val="008C722D"/>
    <w:rsid w:val="009345CA"/>
    <w:rsid w:val="00943AF3"/>
    <w:rsid w:val="00972A70"/>
    <w:rsid w:val="00996530"/>
    <w:rsid w:val="00A94836"/>
    <w:rsid w:val="00C318D6"/>
    <w:rsid w:val="00CC262C"/>
    <w:rsid w:val="00D32C67"/>
    <w:rsid w:val="00D41F0D"/>
    <w:rsid w:val="00DD6C94"/>
    <w:rsid w:val="00E15CD3"/>
    <w:rsid w:val="00E368E7"/>
    <w:rsid w:val="00E964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BBCD"/>
  <w15:docId w15:val="{49EC6D94-3914-4B0A-B71D-8298E0D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630"/>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71063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71063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10630"/>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semiHidden/>
    <w:unhideWhenUsed/>
    <w:qFormat/>
    <w:rsid w:val="00E15CD3"/>
    <w:pPr>
      <w:numPr>
        <w:numId w:val="5"/>
      </w:numPr>
      <w:spacing w:before="240" w:after="60"/>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063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710630"/>
    <w:rPr>
      <w:rFonts w:ascii="Times" w:eastAsia="Times New Roman" w:hAnsi="Times" w:cs="Times New Roman"/>
      <w:smallCaps/>
      <w:noProof/>
      <w:sz w:val="18"/>
      <w:szCs w:val="20"/>
      <w:lang w:eastAsia="it-IT"/>
    </w:rPr>
  </w:style>
  <w:style w:type="character" w:styleId="Collegamentoipertestuale">
    <w:name w:val="Hyperlink"/>
    <w:unhideWhenUsed/>
    <w:rsid w:val="00710630"/>
    <w:rPr>
      <w:color w:val="0000FF"/>
      <w:u w:val="single"/>
    </w:rPr>
  </w:style>
  <w:style w:type="paragraph" w:customStyle="1" w:styleId="Testo1">
    <w:name w:val="Testo 1"/>
    <w:link w:val="Testo1Carattere"/>
    <w:rsid w:val="00710630"/>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71063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710630"/>
    <w:rPr>
      <w:rFonts w:asciiTheme="majorHAnsi" w:eastAsiaTheme="majorEastAsia" w:hAnsiTheme="majorHAnsi" w:cstheme="majorBidi"/>
      <w:b/>
      <w:bCs/>
      <w:color w:val="4F81BD" w:themeColor="accent1"/>
      <w:sz w:val="24"/>
      <w:szCs w:val="24"/>
      <w:lang w:eastAsia="it-IT"/>
    </w:rPr>
  </w:style>
  <w:style w:type="character" w:customStyle="1" w:styleId="Testo2Carattere">
    <w:name w:val="Testo 2 Carattere"/>
    <w:link w:val="Testo2"/>
    <w:locked/>
    <w:rsid w:val="00996530"/>
    <w:rPr>
      <w:rFonts w:ascii="Times" w:eastAsia="Times New Roman" w:hAnsi="Times" w:cs="Times New Roman"/>
      <w:noProof/>
      <w:sz w:val="18"/>
      <w:szCs w:val="20"/>
      <w:lang w:eastAsia="it-IT"/>
    </w:rPr>
  </w:style>
  <w:style w:type="character" w:customStyle="1" w:styleId="Titolo9Carattere">
    <w:name w:val="Titolo 9 Carattere"/>
    <w:basedOn w:val="Carpredefinitoparagrafo"/>
    <w:link w:val="Titolo9"/>
    <w:semiHidden/>
    <w:rsid w:val="00E15CD3"/>
    <w:rPr>
      <w:rFonts w:ascii="Arial" w:eastAsia="Times New Roman" w:hAnsi="Arial" w:cs="Times New Roman"/>
      <w:b/>
      <w:i/>
      <w:sz w:val="18"/>
      <w:szCs w:val="20"/>
      <w:lang w:eastAsia="it-IT"/>
    </w:rPr>
  </w:style>
  <w:style w:type="character" w:customStyle="1" w:styleId="Testo1Carattere">
    <w:name w:val="Testo 1 Carattere"/>
    <w:link w:val="Testo1"/>
    <w:locked/>
    <w:rsid w:val="00D32C67"/>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958">
      <w:bodyDiv w:val="1"/>
      <w:marLeft w:val="0"/>
      <w:marRight w:val="0"/>
      <w:marTop w:val="0"/>
      <w:marBottom w:val="0"/>
      <w:divBdr>
        <w:top w:val="none" w:sz="0" w:space="0" w:color="auto"/>
        <w:left w:val="none" w:sz="0" w:space="0" w:color="auto"/>
        <w:bottom w:val="none" w:sz="0" w:space="0" w:color="auto"/>
        <w:right w:val="none" w:sz="0" w:space="0" w:color="auto"/>
      </w:divBdr>
    </w:div>
    <w:div w:id="207375032">
      <w:bodyDiv w:val="1"/>
      <w:marLeft w:val="0"/>
      <w:marRight w:val="0"/>
      <w:marTop w:val="0"/>
      <w:marBottom w:val="0"/>
      <w:divBdr>
        <w:top w:val="none" w:sz="0" w:space="0" w:color="auto"/>
        <w:left w:val="none" w:sz="0" w:space="0" w:color="auto"/>
        <w:bottom w:val="none" w:sz="0" w:space="0" w:color="auto"/>
        <w:right w:val="none" w:sz="0" w:space="0" w:color="auto"/>
      </w:divBdr>
    </w:div>
    <w:div w:id="444420871">
      <w:bodyDiv w:val="1"/>
      <w:marLeft w:val="0"/>
      <w:marRight w:val="0"/>
      <w:marTop w:val="0"/>
      <w:marBottom w:val="0"/>
      <w:divBdr>
        <w:top w:val="none" w:sz="0" w:space="0" w:color="auto"/>
        <w:left w:val="none" w:sz="0" w:space="0" w:color="auto"/>
        <w:bottom w:val="none" w:sz="0" w:space="0" w:color="auto"/>
        <w:right w:val="none" w:sz="0" w:space="0" w:color="auto"/>
      </w:divBdr>
    </w:div>
    <w:div w:id="684096920">
      <w:bodyDiv w:val="1"/>
      <w:marLeft w:val="0"/>
      <w:marRight w:val="0"/>
      <w:marTop w:val="0"/>
      <w:marBottom w:val="0"/>
      <w:divBdr>
        <w:top w:val="none" w:sz="0" w:space="0" w:color="auto"/>
        <w:left w:val="none" w:sz="0" w:space="0" w:color="auto"/>
        <w:bottom w:val="none" w:sz="0" w:space="0" w:color="auto"/>
        <w:right w:val="none" w:sz="0" w:space="0" w:color="auto"/>
      </w:divBdr>
    </w:div>
    <w:div w:id="1038700522">
      <w:bodyDiv w:val="1"/>
      <w:marLeft w:val="0"/>
      <w:marRight w:val="0"/>
      <w:marTop w:val="0"/>
      <w:marBottom w:val="0"/>
      <w:divBdr>
        <w:top w:val="none" w:sz="0" w:space="0" w:color="auto"/>
        <w:left w:val="none" w:sz="0" w:space="0" w:color="auto"/>
        <w:bottom w:val="none" w:sz="0" w:space="0" w:color="auto"/>
        <w:right w:val="none" w:sz="0" w:space="0" w:color="auto"/>
      </w:divBdr>
    </w:div>
    <w:div w:id="1090926378">
      <w:bodyDiv w:val="1"/>
      <w:marLeft w:val="0"/>
      <w:marRight w:val="0"/>
      <w:marTop w:val="0"/>
      <w:marBottom w:val="0"/>
      <w:divBdr>
        <w:top w:val="none" w:sz="0" w:space="0" w:color="auto"/>
        <w:left w:val="none" w:sz="0" w:space="0" w:color="auto"/>
        <w:bottom w:val="none" w:sz="0" w:space="0" w:color="auto"/>
        <w:right w:val="none" w:sz="0" w:space="0" w:color="auto"/>
      </w:divBdr>
    </w:div>
    <w:div w:id="18350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8C958-51FF-4808-B29F-F3FE5FA422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1C964-E178-4FF7-9016-920FD8DC4ABC}">
  <ds:schemaRefs>
    <ds:schemaRef ds:uri="http://schemas.microsoft.com/sharepoint/v3/contenttype/forms"/>
  </ds:schemaRefs>
</ds:datastoreItem>
</file>

<file path=customXml/itemProps3.xml><?xml version="1.0" encoding="utf-8"?>
<ds:datastoreItem xmlns:ds="http://schemas.openxmlformats.org/officeDocument/2006/customXml" ds:itemID="{4A4C0F9C-59D8-4765-88B8-C8F93627D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1054</Words>
  <Characters>6008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Fiori Paola</dc:creator>
  <cp:lastModifiedBy>Piccolini Luisella</cp:lastModifiedBy>
  <cp:revision>7</cp:revision>
  <cp:lastPrinted>2015-05-14T11:05:00Z</cp:lastPrinted>
  <dcterms:created xsi:type="dcterms:W3CDTF">2023-05-23T09:50:00Z</dcterms:created>
  <dcterms:modified xsi:type="dcterms:W3CDTF">2023-07-18T13:04:00Z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