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1DBE" w14:textId="77777777" w:rsidR="003A1A5D" w:rsidRPr="00522027" w:rsidRDefault="003A1A5D" w:rsidP="003A1A5D">
      <w:pPr>
        <w:pStyle w:val="Titolo1"/>
      </w:pPr>
      <w:r w:rsidRPr="00522027">
        <w:t>European Union law</w:t>
      </w:r>
    </w:p>
    <w:p w14:paraId="2603FA6F" w14:textId="77777777" w:rsidR="003A1A5D" w:rsidRPr="00522027" w:rsidRDefault="003A1A5D" w:rsidP="003A1A5D">
      <w:pPr>
        <w:pStyle w:val="Titolo2"/>
      </w:pPr>
      <w:r w:rsidRPr="00522027">
        <w:t>Prof. Chiara Marenghi; prof. Matteo Manfredi</w:t>
      </w:r>
    </w:p>
    <w:p w14:paraId="01AB4A45" w14:textId="77777777" w:rsidR="003A1A5D" w:rsidRPr="00522027" w:rsidRDefault="003A1A5D" w:rsidP="003A1A5D">
      <w:pPr>
        <w:pStyle w:val="Titolo3"/>
      </w:pPr>
    </w:p>
    <w:p w14:paraId="5B126B89" w14:textId="77777777" w:rsidR="003A1A5D" w:rsidRPr="00D24847" w:rsidRDefault="003A1A5D" w:rsidP="003A1A5D">
      <w:pPr>
        <w:spacing w:before="240" w:after="120"/>
        <w:rPr>
          <w:rFonts w:eastAsia="Times New Roman"/>
          <w:b/>
          <w:sz w:val="18"/>
          <w:lang w:val="en-GB"/>
        </w:rPr>
      </w:pPr>
      <w:bookmarkStart w:id="0" w:name="_Hlk76557115"/>
      <w:r w:rsidRPr="00D24847">
        <w:rPr>
          <w:b/>
          <w:i/>
          <w:sz w:val="18"/>
          <w:lang w:val="en-GB"/>
        </w:rPr>
        <w:t>COURSE AIMS AND INTENDED LEARNING OUTCOMES</w:t>
      </w:r>
      <w:bookmarkEnd w:id="0"/>
    </w:p>
    <w:p w14:paraId="6CB45EE1" w14:textId="77777777" w:rsidR="003A1A5D" w:rsidRPr="00D24847" w:rsidRDefault="003A1A5D" w:rsidP="003A1A5D">
      <w:pPr>
        <w:rPr>
          <w:i/>
          <w:lang w:val="en-GB"/>
        </w:rPr>
      </w:pPr>
      <w:r w:rsidRPr="00D24847">
        <w:rPr>
          <w:i/>
          <w:lang w:val="en-GB"/>
        </w:rPr>
        <w:t>Course aims</w:t>
      </w:r>
    </w:p>
    <w:p w14:paraId="5EA8BE18" w14:textId="77777777" w:rsidR="003A1A5D" w:rsidRPr="00D24847" w:rsidRDefault="003A1A5D" w:rsidP="003A1A5D">
      <w:pPr>
        <w:rPr>
          <w:lang w:val="en-GB" w:eastAsia="en-US"/>
        </w:rPr>
      </w:pPr>
      <w:r w:rsidRPr="00D24847">
        <w:rPr>
          <w:lang w:val="en-GB"/>
        </w:rPr>
        <w:t xml:space="preserve">The course aims to introduce students to the knowledge of the EU legal system, both for its specific peculiarities </w:t>
      </w:r>
      <w:r>
        <w:rPr>
          <w:lang w:val="en-GB"/>
        </w:rPr>
        <w:t>in terms of</w:t>
      </w:r>
      <w:r w:rsidRPr="00D24847">
        <w:rPr>
          <w:lang w:val="en-GB"/>
        </w:rPr>
        <w:t xml:space="preserve"> national legal systems, and for the importance of the relationship between EU law and national laws.</w:t>
      </w:r>
      <w:r>
        <w:rPr>
          <w:lang w:val="en-GB"/>
        </w:rPr>
        <w:t xml:space="preserve"> T</w:t>
      </w:r>
      <w:r w:rsidRPr="00D24847">
        <w:rPr>
          <w:lang w:val="en-GB"/>
        </w:rPr>
        <w:t xml:space="preserve">he first part of the course </w:t>
      </w:r>
      <w:r>
        <w:rPr>
          <w:lang w:val="en-GB"/>
        </w:rPr>
        <w:t xml:space="preserve">will explore </w:t>
      </w:r>
      <w:r w:rsidRPr="00D24847">
        <w:rPr>
          <w:lang w:val="en-GB"/>
        </w:rPr>
        <w:t xml:space="preserve">the </w:t>
      </w:r>
      <w:r w:rsidRPr="00D24847">
        <w:rPr>
          <w:i/>
          <w:iCs/>
          <w:lang w:val="en-GB"/>
        </w:rPr>
        <w:t>institutional profiles</w:t>
      </w:r>
      <w:r w:rsidRPr="00D24847">
        <w:rPr>
          <w:lang w:val="en-GB"/>
        </w:rPr>
        <w:t xml:space="preserve"> of the Union, such as the institutional structure and the sources of EU law, the fundamental rules on which the Union is founded, their effectiveness with respect to national law, its ability to affect relationships between individuals and between individuals and the </w:t>
      </w:r>
      <w:r>
        <w:rPr>
          <w:lang w:val="en-GB"/>
        </w:rPr>
        <w:t>S</w:t>
      </w:r>
      <w:r w:rsidRPr="00D24847">
        <w:rPr>
          <w:lang w:val="en-GB"/>
        </w:rPr>
        <w:t>tate</w:t>
      </w:r>
      <w:r w:rsidRPr="00D24847">
        <w:rPr>
          <w:lang w:val="en-GB" w:eastAsia="en-US"/>
        </w:rPr>
        <w:t>.</w:t>
      </w:r>
    </w:p>
    <w:p w14:paraId="0A918F57" w14:textId="77777777" w:rsidR="003A1A5D" w:rsidRPr="00D24847" w:rsidRDefault="003A1A5D" w:rsidP="003A1A5D">
      <w:pPr>
        <w:rPr>
          <w:lang w:val="en-GB"/>
        </w:rPr>
      </w:pPr>
      <w:r w:rsidRPr="00D24847">
        <w:rPr>
          <w:lang w:val="en-GB"/>
        </w:rPr>
        <w:t xml:space="preserve">The second part of the course will be dedicated to the study of the </w:t>
      </w:r>
      <w:r w:rsidRPr="00D24847">
        <w:rPr>
          <w:i/>
          <w:iCs/>
          <w:lang w:val="en-GB"/>
        </w:rPr>
        <w:t>substantive law of the Union</w:t>
      </w:r>
      <w:r w:rsidRPr="00D24847">
        <w:rPr>
          <w:lang w:val="en-GB"/>
        </w:rPr>
        <w:t xml:space="preserve">, </w:t>
      </w:r>
      <w:r>
        <w:rPr>
          <w:lang w:val="en-GB"/>
        </w:rPr>
        <w:t>especially</w:t>
      </w:r>
      <w:r w:rsidRPr="00D24847">
        <w:rPr>
          <w:lang w:val="en-GB"/>
        </w:rPr>
        <w:t xml:space="preserve"> </w:t>
      </w:r>
      <w:r>
        <w:rPr>
          <w:lang w:val="en-GB"/>
        </w:rPr>
        <w:t xml:space="preserve">with regard </w:t>
      </w:r>
      <w:r w:rsidRPr="00D24847">
        <w:rPr>
          <w:lang w:val="en-GB"/>
        </w:rPr>
        <w:t xml:space="preserve">o </w:t>
      </w:r>
      <w:r w:rsidRPr="00D24847">
        <w:rPr>
          <w:i/>
          <w:iCs/>
          <w:lang w:val="en-GB"/>
        </w:rPr>
        <w:t>internal market</w:t>
      </w:r>
      <w:r w:rsidRPr="00D24847">
        <w:rPr>
          <w:lang w:val="en-GB"/>
        </w:rPr>
        <w:t xml:space="preserve"> policies. Particular attention will be paid to topical issues affecting the process of European integration both in the </w:t>
      </w:r>
      <w:r w:rsidRPr="00FA4BF6">
        <w:rPr>
          <w:i/>
          <w:iCs/>
          <w:lang w:val="en-GB"/>
        </w:rPr>
        <w:t>general</w:t>
      </w:r>
      <w:r w:rsidRPr="00D24847">
        <w:rPr>
          <w:lang w:val="en-GB"/>
        </w:rPr>
        <w:t xml:space="preserve"> and in the </w:t>
      </w:r>
      <w:r w:rsidRPr="00FA4BF6">
        <w:rPr>
          <w:i/>
          <w:iCs/>
          <w:lang w:val="en-GB"/>
        </w:rPr>
        <w:t>special part</w:t>
      </w:r>
      <w:r w:rsidRPr="00D24847">
        <w:rPr>
          <w:color w:val="000000"/>
          <w:shd w:val="clear" w:color="auto" w:fill="FFFFFF"/>
          <w:lang w:val="en-GB"/>
        </w:rPr>
        <w:t xml:space="preserve">. </w:t>
      </w:r>
    </w:p>
    <w:p w14:paraId="0D34B04F" w14:textId="77777777" w:rsidR="003A1A5D" w:rsidRPr="00D24847" w:rsidRDefault="003A1A5D" w:rsidP="003A1A5D">
      <w:pPr>
        <w:rPr>
          <w:lang w:val="en-GB"/>
        </w:rPr>
      </w:pPr>
    </w:p>
    <w:p w14:paraId="395C86EA" w14:textId="77777777" w:rsidR="003A1A5D" w:rsidRPr="00D24847" w:rsidRDefault="003A1A5D" w:rsidP="003A1A5D">
      <w:pPr>
        <w:rPr>
          <w:rFonts w:eastAsia="Times New Roman"/>
          <w:i/>
          <w:lang w:val="en-GB"/>
        </w:rPr>
      </w:pPr>
      <w:r w:rsidRPr="00D24847">
        <w:rPr>
          <w:i/>
          <w:lang w:val="en-GB"/>
        </w:rPr>
        <w:t>Intended learning outcomes</w:t>
      </w:r>
    </w:p>
    <w:p w14:paraId="2DB08C09" w14:textId="77777777" w:rsidR="003A1A5D" w:rsidRPr="00D24847" w:rsidRDefault="003A1A5D" w:rsidP="003A1A5D">
      <w:pPr>
        <w:rPr>
          <w:lang w:val="en-GB"/>
        </w:rPr>
      </w:pPr>
      <w:r w:rsidRPr="00D24847">
        <w:rPr>
          <w:lang w:val="en-GB"/>
        </w:rPr>
        <w:t>KNOWLEDGE AND UNDERSTANDING</w:t>
      </w:r>
    </w:p>
    <w:p w14:paraId="68F9049E" w14:textId="77777777" w:rsidR="003A1A5D" w:rsidRPr="00D24847" w:rsidRDefault="003A1A5D" w:rsidP="003A1A5D">
      <w:pPr>
        <w:rPr>
          <w:lang w:val="en-GB"/>
        </w:rPr>
      </w:pPr>
      <w:r w:rsidRPr="00297F04">
        <w:rPr>
          <w:lang w:val="en-GB"/>
        </w:rPr>
        <w:t>At the end of the course student</w:t>
      </w:r>
      <w:r>
        <w:rPr>
          <w:lang w:val="en-GB"/>
        </w:rPr>
        <w:t>s</w:t>
      </w:r>
      <w:r w:rsidRPr="00297F04">
        <w:rPr>
          <w:lang w:val="en-GB"/>
        </w:rPr>
        <w:t xml:space="preserve"> will be able to understand the institutional structure of the European Union </w:t>
      </w:r>
      <w:r>
        <w:rPr>
          <w:lang w:val="en-GB"/>
        </w:rPr>
        <w:t>and</w:t>
      </w:r>
      <w:r w:rsidRPr="00297F04">
        <w:rPr>
          <w:lang w:val="en-GB"/>
        </w:rPr>
        <w:t xml:space="preserve"> the dynamics underlying the process of European integration</w:t>
      </w:r>
      <w:r>
        <w:rPr>
          <w:lang w:val="en-GB"/>
        </w:rPr>
        <w:t>,</w:t>
      </w:r>
      <w:r w:rsidRPr="00297F04">
        <w:rPr>
          <w:lang w:val="en-GB"/>
        </w:rPr>
        <w:t xml:space="preserve"> in particular the tension between a more supranational and a more intergovernmental dimension.</w:t>
      </w:r>
      <w:r>
        <w:rPr>
          <w:lang w:val="en-GB"/>
        </w:rPr>
        <w:t xml:space="preserve"> S</w:t>
      </w:r>
      <w:r w:rsidRPr="00297F04">
        <w:rPr>
          <w:lang w:val="en-GB"/>
        </w:rPr>
        <w:t>tudent</w:t>
      </w:r>
      <w:r>
        <w:rPr>
          <w:lang w:val="en-GB"/>
        </w:rPr>
        <w:t>s</w:t>
      </w:r>
      <w:r w:rsidRPr="00297F04">
        <w:rPr>
          <w:lang w:val="en-GB"/>
        </w:rPr>
        <w:t xml:space="preserve"> will also be able to describe the characteristics and sources of the </w:t>
      </w:r>
      <w:r>
        <w:rPr>
          <w:lang w:val="en-GB"/>
        </w:rPr>
        <w:t>E</w:t>
      </w:r>
      <w:r w:rsidRPr="00297F04">
        <w:rPr>
          <w:lang w:val="en-GB"/>
        </w:rPr>
        <w:t xml:space="preserve">U legal system and how </w:t>
      </w:r>
      <w:r>
        <w:rPr>
          <w:lang w:val="en-GB"/>
        </w:rPr>
        <w:t>it</w:t>
      </w:r>
      <w:r w:rsidRPr="00297F04">
        <w:rPr>
          <w:lang w:val="en-GB"/>
        </w:rPr>
        <w:t xml:space="preserve"> interacts with national legal systems. Finally, </w:t>
      </w:r>
      <w:r>
        <w:rPr>
          <w:lang w:val="en-GB"/>
        </w:rPr>
        <w:t>s</w:t>
      </w:r>
      <w:r w:rsidRPr="00297F04">
        <w:rPr>
          <w:lang w:val="en-GB"/>
        </w:rPr>
        <w:t>tudent</w:t>
      </w:r>
      <w:r>
        <w:rPr>
          <w:lang w:val="en-GB"/>
        </w:rPr>
        <w:t>s</w:t>
      </w:r>
      <w:r w:rsidRPr="00297F04">
        <w:rPr>
          <w:lang w:val="en-GB"/>
        </w:rPr>
        <w:t xml:space="preserve"> will be able to distinguish the different legal </w:t>
      </w:r>
      <w:r>
        <w:rPr>
          <w:lang w:val="en-GB"/>
        </w:rPr>
        <w:t>principles</w:t>
      </w:r>
      <w:r w:rsidRPr="00297F04">
        <w:rPr>
          <w:lang w:val="en-GB"/>
        </w:rPr>
        <w:t xml:space="preserve"> relating to internal market policies</w:t>
      </w:r>
      <w:r w:rsidRPr="00D24847">
        <w:rPr>
          <w:lang w:val="en-GB"/>
        </w:rPr>
        <w:t>.</w:t>
      </w:r>
    </w:p>
    <w:p w14:paraId="343308F3" w14:textId="77777777" w:rsidR="003A1A5D" w:rsidRPr="00D24847" w:rsidRDefault="003A1A5D" w:rsidP="003A1A5D">
      <w:pPr>
        <w:rPr>
          <w:lang w:val="en-GB"/>
        </w:rPr>
      </w:pPr>
    </w:p>
    <w:p w14:paraId="24EB2D2B" w14:textId="77777777" w:rsidR="003A1A5D" w:rsidRPr="00D24847" w:rsidRDefault="003A1A5D" w:rsidP="003A1A5D">
      <w:pPr>
        <w:rPr>
          <w:lang w:val="en-GB"/>
        </w:rPr>
      </w:pPr>
    </w:p>
    <w:p w14:paraId="6D308AC2" w14:textId="77777777" w:rsidR="003A1A5D" w:rsidRPr="00D24847" w:rsidRDefault="003A1A5D" w:rsidP="003A1A5D">
      <w:pPr>
        <w:rPr>
          <w:rFonts w:eastAsia="Times New Roman"/>
          <w:lang w:val="en-GB"/>
        </w:rPr>
      </w:pPr>
      <w:r w:rsidRPr="00D24847">
        <w:rPr>
          <w:lang w:val="en-GB"/>
        </w:rPr>
        <w:t>ABILITY TO APPLY KNOWLEDGE AND UNDERSTANDING</w:t>
      </w:r>
    </w:p>
    <w:p w14:paraId="7A4820E5" w14:textId="77777777" w:rsidR="003A1A5D" w:rsidRPr="00D24847" w:rsidRDefault="003A1A5D" w:rsidP="003A1A5D">
      <w:pPr>
        <w:rPr>
          <w:lang w:val="en-GB"/>
        </w:rPr>
      </w:pPr>
      <w:r w:rsidRPr="00297F04">
        <w:rPr>
          <w:lang w:val="en-GB"/>
        </w:rPr>
        <w:t>At the end of the course student</w:t>
      </w:r>
      <w:r>
        <w:rPr>
          <w:lang w:val="en-GB"/>
        </w:rPr>
        <w:t>s</w:t>
      </w:r>
      <w:r w:rsidRPr="00297F04">
        <w:rPr>
          <w:lang w:val="en-GB"/>
        </w:rPr>
        <w:t xml:space="preserve"> will be able to use the legal language of European Union law and to critically analy</w:t>
      </w:r>
      <w:r>
        <w:rPr>
          <w:lang w:val="en-GB"/>
        </w:rPr>
        <w:t>s</w:t>
      </w:r>
      <w:r w:rsidRPr="00297F04">
        <w:rPr>
          <w:lang w:val="en-GB"/>
        </w:rPr>
        <w:t>e the related sources and the jurisprudence of the Court of Justice.</w:t>
      </w:r>
      <w:r>
        <w:rPr>
          <w:lang w:val="en-GB"/>
        </w:rPr>
        <w:t xml:space="preserve"> S</w:t>
      </w:r>
      <w:r w:rsidRPr="00297F04">
        <w:rPr>
          <w:lang w:val="en-GB"/>
        </w:rPr>
        <w:t>tudent</w:t>
      </w:r>
      <w:r>
        <w:rPr>
          <w:lang w:val="en-GB"/>
        </w:rPr>
        <w:t>s</w:t>
      </w:r>
      <w:r w:rsidRPr="00297F04">
        <w:rPr>
          <w:lang w:val="en-GB"/>
        </w:rPr>
        <w:t xml:space="preserve"> will also be able to solve the legal problems relating to the interaction between the Union legal system and internal legal systems. Finally, student</w:t>
      </w:r>
      <w:r>
        <w:rPr>
          <w:lang w:val="en-GB"/>
        </w:rPr>
        <w:t>s</w:t>
      </w:r>
      <w:r w:rsidRPr="00297F04">
        <w:rPr>
          <w:lang w:val="en-GB"/>
        </w:rPr>
        <w:t xml:space="preserve"> will have acquired a method that can also be applied to the study of EU policies that are not covered by the course</w:t>
      </w:r>
      <w:r w:rsidRPr="00D24847">
        <w:rPr>
          <w:lang w:val="en-GB"/>
        </w:rPr>
        <w:t>.</w:t>
      </w:r>
    </w:p>
    <w:p w14:paraId="3C22EB1A" w14:textId="77777777" w:rsidR="003A1A5D" w:rsidRPr="00D24847" w:rsidRDefault="003A1A5D" w:rsidP="003A1A5D">
      <w:pPr>
        <w:rPr>
          <w:lang w:val="en-GB"/>
        </w:rPr>
      </w:pPr>
    </w:p>
    <w:p w14:paraId="22A20C4E" w14:textId="77777777" w:rsidR="003A1A5D" w:rsidRPr="00D24847" w:rsidRDefault="003A1A5D" w:rsidP="003A1A5D">
      <w:pPr>
        <w:rPr>
          <w:lang w:val="en-GB"/>
        </w:rPr>
      </w:pPr>
    </w:p>
    <w:p w14:paraId="3DBEC73B" w14:textId="77777777" w:rsidR="003A1A5D" w:rsidRPr="00D24847" w:rsidRDefault="003A1A5D" w:rsidP="003A1A5D">
      <w:pPr>
        <w:rPr>
          <w:lang w:val="en-GB"/>
        </w:rPr>
      </w:pPr>
    </w:p>
    <w:p w14:paraId="5AEDF36E" w14:textId="77777777" w:rsidR="003A1A5D" w:rsidRPr="00D24847" w:rsidRDefault="003A1A5D" w:rsidP="003A1A5D">
      <w:pPr>
        <w:spacing w:before="240" w:after="120"/>
        <w:rPr>
          <w:b/>
          <w:sz w:val="18"/>
          <w:lang w:val="en-GB"/>
        </w:rPr>
      </w:pPr>
      <w:bookmarkStart w:id="1" w:name="_Hlk76557154"/>
      <w:r w:rsidRPr="00D24847">
        <w:rPr>
          <w:b/>
          <w:i/>
          <w:sz w:val="18"/>
          <w:lang w:val="en-GB"/>
        </w:rPr>
        <w:t>COURSE CONTENT</w:t>
      </w:r>
      <w:bookmarkEnd w:id="1"/>
    </w:p>
    <w:p w14:paraId="75A0AA5C" w14:textId="77777777" w:rsidR="003A1A5D" w:rsidRPr="00D24847" w:rsidRDefault="003A1A5D" w:rsidP="003A1A5D">
      <w:pPr>
        <w:rPr>
          <w:lang w:val="en-GB"/>
        </w:rPr>
      </w:pPr>
      <w:r w:rsidRPr="00D24847">
        <w:rPr>
          <w:i/>
          <w:lang w:val="en-GB"/>
        </w:rPr>
        <w:t xml:space="preserve">I. </w:t>
      </w:r>
      <w:r>
        <w:rPr>
          <w:i/>
          <w:lang w:val="en-GB"/>
        </w:rPr>
        <w:t>General p</w:t>
      </w:r>
      <w:r w:rsidRPr="00D24847">
        <w:rPr>
          <w:i/>
          <w:lang w:val="en-GB"/>
        </w:rPr>
        <w:t xml:space="preserve">art: </w:t>
      </w:r>
      <w:r w:rsidRPr="00297F04">
        <w:rPr>
          <w:i/>
          <w:lang w:val="en-GB"/>
        </w:rPr>
        <w:t>institutional profiles</w:t>
      </w:r>
    </w:p>
    <w:p w14:paraId="2FB47EBD" w14:textId="77777777" w:rsidR="003A1A5D" w:rsidRPr="00D24847" w:rsidRDefault="003A1A5D" w:rsidP="003A1A5D">
      <w:pPr>
        <w:pStyle w:val="Paragrafoelenco"/>
        <w:numPr>
          <w:ilvl w:val="0"/>
          <w:numId w:val="2"/>
        </w:numPr>
        <w:rPr>
          <w:color w:val="000000"/>
          <w:shd w:val="clear" w:color="auto" w:fill="FFFFFF"/>
          <w:lang w:val="en-GB"/>
        </w:rPr>
      </w:pPr>
      <w:r w:rsidRPr="00297F04">
        <w:rPr>
          <w:color w:val="000000"/>
          <w:shd w:val="clear" w:color="auto" w:fill="FFFFFF"/>
          <w:lang w:val="en-GB"/>
        </w:rPr>
        <w:t>Origins and development of the European integration process</w:t>
      </w:r>
    </w:p>
    <w:p w14:paraId="3A6EE11E" w14:textId="77777777" w:rsidR="003A1A5D" w:rsidRPr="00D24847" w:rsidRDefault="003A1A5D" w:rsidP="003A1A5D">
      <w:pPr>
        <w:pStyle w:val="Paragrafoelenco"/>
        <w:numPr>
          <w:ilvl w:val="0"/>
          <w:numId w:val="2"/>
        </w:numPr>
        <w:rPr>
          <w:color w:val="000000"/>
          <w:shd w:val="clear" w:color="auto" w:fill="FFFFFF"/>
          <w:lang w:val="en-GB"/>
        </w:rPr>
      </w:pPr>
      <w:r w:rsidRPr="00F23ABA">
        <w:rPr>
          <w:color w:val="000000"/>
          <w:shd w:val="clear" w:color="auto" w:fill="FFFFFF"/>
          <w:lang w:val="en-GB"/>
        </w:rPr>
        <w:t>Characteristics of the European Union, founding values, objectives</w:t>
      </w:r>
      <w:r>
        <w:rPr>
          <w:color w:val="000000"/>
          <w:shd w:val="clear" w:color="auto" w:fill="FFFFFF"/>
          <w:lang w:val="en-GB"/>
        </w:rPr>
        <w:t>,</w:t>
      </w:r>
      <w:r w:rsidRPr="00F23ABA">
        <w:rPr>
          <w:color w:val="000000"/>
          <w:shd w:val="clear" w:color="auto" w:fill="FFFFFF"/>
          <w:lang w:val="en-GB"/>
        </w:rPr>
        <w:t xml:space="preserve"> and competences</w:t>
      </w:r>
    </w:p>
    <w:p w14:paraId="4ABF082D" w14:textId="77777777" w:rsidR="003A1A5D" w:rsidRPr="00D24847" w:rsidRDefault="003A1A5D" w:rsidP="003A1A5D">
      <w:pPr>
        <w:pStyle w:val="Paragrafoelenco"/>
        <w:numPr>
          <w:ilvl w:val="0"/>
          <w:numId w:val="2"/>
        </w:numPr>
        <w:rPr>
          <w:color w:val="000000"/>
          <w:shd w:val="clear" w:color="auto" w:fill="FFFFFF"/>
          <w:lang w:val="en-GB"/>
        </w:rPr>
      </w:pPr>
      <w:r w:rsidRPr="00F23ABA">
        <w:rPr>
          <w:color w:val="000000"/>
          <w:shd w:val="clear" w:color="auto" w:fill="FFFFFF"/>
          <w:lang w:val="en-GB"/>
        </w:rPr>
        <w:t>The institutional framework (institutions, bodies</w:t>
      </w:r>
      <w:r>
        <w:rPr>
          <w:color w:val="000000"/>
          <w:shd w:val="clear" w:color="auto" w:fill="FFFFFF"/>
          <w:lang w:val="en-GB"/>
        </w:rPr>
        <w:t>,</w:t>
      </w:r>
      <w:r w:rsidRPr="00F23ABA">
        <w:rPr>
          <w:color w:val="000000"/>
          <w:shd w:val="clear" w:color="auto" w:fill="FFFFFF"/>
          <w:lang w:val="en-GB"/>
        </w:rPr>
        <w:t xml:space="preserve"> and agencies)</w:t>
      </w:r>
    </w:p>
    <w:p w14:paraId="1DA97CBE" w14:textId="77777777" w:rsidR="003A1A5D" w:rsidRPr="00D24847" w:rsidRDefault="003A1A5D" w:rsidP="003A1A5D">
      <w:pPr>
        <w:pStyle w:val="Paragrafoelenco"/>
        <w:numPr>
          <w:ilvl w:val="0"/>
          <w:numId w:val="2"/>
        </w:numPr>
        <w:rPr>
          <w:color w:val="000000"/>
          <w:shd w:val="clear" w:color="auto" w:fill="FFFFFF"/>
          <w:lang w:val="en-GB"/>
        </w:rPr>
      </w:pPr>
      <w:r w:rsidRPr="00F23ABA">
        <w:rPr>
          <w:color w:val="000000"/>
          <w:shd w:val="clear" w:color="auto" w:fill="FFFFFF"/>
          <w:lang w:val="en-GB"/>
        </w:rPr>
        <w:t xml:space="preserve">The legal </w:t>
      </w:r>
      <w:r>
        <w:rPr>
          <w:color w:val="000000"/>
          <w:shd w:val="clear" w:color="auto" w:fill="FFFFFF"/>
          <w:lang w:val="en-GB"/>
        </w:rPr>
        <w:t>system</w:t>
      </w:r>
      <w:r w:rsidRPr="00F23ABA">
        <w:rPr>
          <w:color w:val="000000"/>
          <w:shd w:val="clear" w:color="auto" w:fill="FFFFFF"/>
          <w:lang w:val="en-GB"/>
        </w:rPr>
        <w:t xml:space="preserve"> of the Union and its sources</w:t>
      </w:r>
    </w:p>
    <w:p w14:paraId="0A234910" w14:textId="77777777" w:rsidR="003A1A5D" w:rsidRPr="00D24847" w:rsidRDefault="003A1A5D" w:rsidP="003A1A5D">
      <w:pPr>
        <w:pStyle w:val="Paragrafoelenco"/>
        <w:numPr>
          <w:ilvl w:val="0"/>
          <w:numId w:val="2"/>
        </w:numPr>
        <w:rPr>
          <w:color w:val="000000"/>
          <w:shd w:val="clear" w:color="auto" w:fill="FFFFFF"/>
          <w:lang w:val="en-GB"/>
        </w:rPr>
      </w:pPr>
      <w:r w:rsidRPr="00F23ABA">
        <w:rPr>
          <w:color w:val="000000"/>
          <w:shd w:val="clear" w:color="auto" w:fill="FFFFFF"/>
          <w:lang w:val="en-GB"/>
        </w:rPr>
        <w:t>European Union law and domestic law</w:t>
      </w:r>
    </w:p>
    <w:p w14:paraId="06B69B98" w14:textId="77777777" w:rsidR="003A1A5D" w:rsidRPr="00D24847" w:rsidRDefault="003A1A5D" w:rsidP="003A1A5D">
      <w:pPr>
        <w:pStyle w:val="Paragrafoelenco"/>
        <w:numPr>
          <w:ilvl w:val="0"/>
          <w:numId w:val="2"/>
        </w:numPr>
        <w:rPr>
          <w:color w:val="000000"/>
          <w:shd w:val="clear" w:color="auto" w:fill="FFFFFF"/>
          <w:lang w:val="en-GB"/>
        </w:rPr>
      </w:pPr>
      <w:r w:rsidRPr="00F23ABA">
        <w:rPr>
          <w:color w:val="000000"/>
          <w:shd w:val="clear" w:color="auto" w:fill="FFFFFF"/>
          <w:lang w:val="en-GB"/>
        </w:rPr>
        <w:t>Judicial protection of rights</w:t>
      </w:r>
    </w:p>
    <w:p w14:paraId="267BD336" w14:textId="77777777" w:rsidR="003A1A5D" w:rsidRPr="00D24847" w:rsidRDefault="003A1A5D" w:rsidP="003A1A5D">
      <w:pPr>
        <w:rPr>
          <w:color w:val="000000"/>
          <w:shd w:val="clear" w:color="auto" w:fill="FFFFFF"/>
          <w:lang w:val="en-GB"/>
        </w:rPr>
      </w:pPr>
    </w:p>
    <w:p w14:paraId="776292E9" w14:textId="77777777" w:rsidR="003A1A5D" w:rsidRPr="00D24847" w:rsidRDefault="003A1A5D" w:rsidP="003A1A5D">
      <w:pPr>
        <w:rPr>
          <w:i/>
          <w:color w:val="000000"/>
          <w:shd w:val="clear" w:color="auto" w:fill="FFFFFF"/>
          <w:lang w:val="en-GB"/>
        </w:rPr>
      </w:pPr>
      <w:r w:rsidRPr="00D24847">
        <w:rPr>
          <w:i/>
          <w:color w:val="000000"/>
          <w:shd w:val="clear" w:color="auto" w:fill="FFFFFF"/>
          <w:lang w:val="en-GB"/>
        </w:rPr>
        <w:t xml:space="preserve">II. </w:t>
      </w:r>
      <w:r>
        <w:rPr>
          <w:i/>
          <w:color w:val="000000"/>
          <w:shd w:val="clear" w:color="auto" w:fill="FFFFFF"/>
          <w:lang w:val="en-GB"/>
        </w:rPr>
        <w:t>Special p</w:t>
      </w:r>
      <w:r w:rsidRPr="00D24847">
        <w:rPr>
          <w:i/>
          <w:color w:val="000000"/>
          <w:shd w:val="clear" w:color="auto" w:fill="FFFFFF"/>
          <w:lang w:val="en-GB"/>
        </w:rPr>
        <w:t xml:space="preserve">art: </w:t>
      </w:r>
      <w:r w:rsidRPr="00F23ABA">
        <w:rPr>
          <w:i/>
          <w:color w:val="000000"/>
          <w:shd w:val="clear" w:color="auto" w:fill="FFFFFF"/>
          <w:lang w:val="en-GB"/>
        </w:rPr>
        <w:t>the substantive law</w:t>
      </w:r>
    </w:p>
    <w:p w14:paraId="1BAADBC0" w14:textId="77777777" w:rsidR="003A1A5D" w:rsidRPr="00D24847" w:rsidRDefault="003A1A5D" w:rsidP="003A1A5D">
      <w:pPr>
        <w:pStyle w:val="Paragrafoelenco"/>
        <w:numPr>
          <w:ilvl w:val="0"/>
          <w:numId w:val="2"/>
        </w:numPr>
        <w:rPr>
          <w:color w:val="000000"/>
          <w:shd w:val="clear" w:color="auto" w:fill="FFFFFF"/>
          <w:lang w:val="en-GB"/>
        </w:rPr>
      </w:pPr>
      <w:r w:rsidRPr="00F23ABA">
        <w:rPr>
          <w:color w:val="000000"/>
          <w:shd w:val="clear" w:color="auto" w:fill="FFFFFF"/>
          <w:lang w:val="en-GB"/>
        </w:rPr>
        <w:t>The internal market: freedoms of movement and European Union citizenship</w:t>
      </w:r>
    </w:p>
    <w:p w14:paraId="04BD05D5" w14:textId="77777777" w:rsidR="003A1A5D" w:rsidRPr="00D24847" w:rsidRDefault="003A1A5D" w:rsidP="003A1A5D">
      <w:pPr>
        <w:keepNext/>
        <w:spacing w:before="240" w:after="120"/>
        <w:rPr>
          <w:b/>
          <w:sz w:val="18"/>
          <w:lang w:val="en-GB"/>
        </w:rPr>
      </w:pPr>
      <w:bookmarkStart w:id="2" w:name="_Hlk76557173"/>
      <w:r w:rsidRPr="00D24847">
        <w:rPr>
          <w:b/>
          <w:i/>
          <w:sz w:val="18"/>
          <w:lang w:val="en-GB"/>
        </w:rPr>
        <w:t>READING LIST</w:t>
      </w:r>
      <w:bookmarkEnd w:id="2"/>
    </w:p>
    <w:p w14:paraId="62956EE1" w14:textId="77777777" w:rsidR="003A1A5D" w:rsidRPr="00D24847" w:rsidRDefault="003A1A5D" w:rsidP="003A1A5D">
      <w:pPr>
        <w:pStyle w:val="Testo1"/>
        <w:spacing w:line="240" w:lineRule="atLeast"/>
        <w:rPr>
          <w:i/>
          <w:iCs/>
          <w:spacing w:val="-5"/>
          <w:sz w:val="20"/>
          <w:lang w:val="en-GB"/>
        </w:rPr>
      </w:pPr>
      <w:r w:rsidRPr="00D24847">
        <w:rPr>
          <w:i/>
          <w:iCs/>
          <w:spacing w:val="-5"/>
          <w:sz w:val="20"/>
          <w:lang w:val="en-GB"/>
        </w:rPr>
        <w:t xml:space="preserve">I. </w:t>
      </w:r>
      <w:r>
        <w:rPr>
          <w:i/>
          <w:iCs/>
          <w:spacing w:val="-5"/>
          <w:sz w:val="20"/>
          <w:lang w:val="en-GB"/>
        </w:rPr>
        <w:t>General p</w:t>
      </w:r>
      <w:r w:rsidRPr="00D24847">
        <w:rPr>
          <w:i/>
          <w:iCs/>
          <w:spacing w:val="-5"/>
          <w:sz w:val="20"/>
          <w:lang w:val="en-GB"/>
        </w:rPr>
        <w:t>art</w:t>
      </w:r>
    </w:p>
    <w:p w14:paraId="19CB97EA" w14:textId="77777777" w:rsidR="003A1A5D" w:rsidRPr="00D24847" w:rsidRDefault="003A1A5D" w:rsidP="003A1A5D">
      <w:pPr>
        <w:pStyle w:val="Testo1"/>
        <w:spacing w:line="240" w:lineRule="atLeast"/>
        <w:rPr>
          <w:rStyle w:val="Collegamentoipertestuale"/>
          <w:spacing w:val="-5"/>
          <w:szCs w:val="18"/>
          <w:lang w:val="en-GB"/>
        </w:rPr>
      </w:pPr>
      <w:r w:rsidRPr="00D24847">
        <w:rPr>
          <w:smallCaps/>
          <w:spacing w:val="-5"/>
          <w:szCs w:val="18"/>
          <w:lang w:val="en-GB"/>
        </w:rPr>
        <w:t xml:space="preserve">U. Draetta-F. </w:t>
      </w:r>
      <w:r w:rsidRPr="00522027">
        <w:rPr>
          <w:smallCaps/>
          <w:spacing w:val="-5"/>
          <w:szCs w:val="18"/>
        </w:rPr>
        <w:t>Bestagno-A. Santini,</w:t>
      </w:r>
      <w:r w:rsidRPr="00522027">
        <w:rPr>
          <w:i/>
          <w:spacing w:val="-5"/>
          <w:szCs w:val="18"/>
        </w:rPr>
        <w:t xml:space="preserve"> Elementi di diritto dell’Unione Europea. </w:t>
      </w:r>
      <w:r w:rsidRPr="00D24847">
        <w:rPr>
          <w:i/>
          <w:spacing w:val="-5"/>
          <w:szCs w:val="18"/>
          <w:lang w:val="en-GB"/>
        </w:rPr>
        <w:t>Parte istituzionale,</w:t>
      </w:r>
      <w:r w:rsidRPr="00D24847">
        <w:rPr>
          <w:spacing w:val="-5"/>
          <w:szCs w:val="18"/>
          <w:lang w:val="en-GB"/>
        </w:rPr>
        <w:t xml:space="preserve"> Giuffrè Francis Lefebvre, Milan, 2022, 7</w:t>
      </w:r>
      <w:r w:rsidRPr="00F23ABA">
        <w:rPr>
          <w:spacing w:val="-5"/>
          <w:szCs w:val="18"/>
          <w:vertAlign w:val="superscript"/>
          <w:lang w:val="en-GB"/>
        </w:rPr>
        <w:t>th</w:t>
      </w:r>
      <w:r>
        <w:rPr>
          <w:spacing w:val="-5"/>
          <w:szCs w:val="18"/>
          <w:lang w:val="en-GB"/>
        </w:rPr>
        <w:t xml:space="preserve"> </w:t>
      </w:r>
      <w:r w:rsidRPr="00D24847">
        <w:rPr>
          <w:spacing w:val="-5"/>
          <w:szCs w:val="18"/>
          <w:lang w:val="en-GB"/>
        </w:rPr>
        <w:t>ed.,</w:t>
      </w:r>
      <w:r w:rsidRPr="00D24847">
        <w:rPr>
          <w:spacing w:val="-5"/>
          <w:u w:val="single"/>
          <w:lang w:val="en-GB"/>
        </w:rPr>
        <w:t xml:space="preserve"> </w:t>
      </w:r>
      <w:r w:rsidRPr="00F23ABA">
        <w:rPr>
          <w:spacing w:val="-5"/>
          <w:u w:val="single"/>
          <w:lang w:val="en-GB"/>
        </w:rPr>
        <w:t xml:space="preserve">the entire volume </w:t>
      </w:r>
      <w:r>
        <w:rPr>
          <w:spacing w:val="-5"/>
          <w:u w:val="single"/>
          <w:lang w:val="en-GB"/>
        </w:rPr>
        <w:t>except</w:t>
      </w:r>
      <w:r w:rsidRPr="00F23ABA">
        <w:rPr>
          <w:spacing w:val="-5"/>
          <w:u w:val="single"/>
          <w:lang w:val="en-GB"/>
        </w:rPr>
        <w:t xml:space="preserve"> chapter</w:t>
      </w:r>
      <w:r>
        <w:rPr>
          <w:spacing w:val="-5"/>
          <w:u w:val="single"/>
          <w:lang w:val="en-GB"/>
        </w:rPr>
        <w:t xml:space="preserve"> 9</w:t>
      </w:r>
      <w:r w:rsidRPr="00D24847">
        <w:rPr>
          <w:spacing w:val="-5"/>
          <w:u w:val="single"/>
          <w:lang w:val="en-GB"/>
        </w:rPr>
        <w:t>.</w:t>
      </w:r>
      <w:r w:rsidRPr="00D24847">
        <w:rPr>
          <w:spacing w:val="-5"/>
          <w:szCs w:val="18"/>
          <w:lang w:val="en-GB"/>
        </w:rPr>
        <w:t xml:space="preserve">  </w:t>
      </w:r>
      <w:hyperlink r:id="rId5" w:history="1">
        <w:r>
          <w:rPr>
            <w:rStyle w:val="Collegamentoipertestuale"/>
            <w:spacing w:val="-5"/>
            <w:szCs w:val="18"/>
            <w:lang w:val="en-GB"/>
          </w:rPr>
          <w:t>Buy from</w:t>
        </w:r>
        <w:r w:rsidRPr="00D24847">
          <w:rPr>
            <w:rStyle w:val="Collegamentoipertestuale"/>
            <w:spacing w:val="-5"/>
            <w:szCs w:val="18"/>
            <w:lang w:val="en-GB"/>
          </w:rPr>
          <w:t xml:space="preserve"> V&amp;P</w:t>
        </w:r>
      </w:hyperlink>
    </w:p>
    <w:p w14:paraId="328FAE3F" w14:textId="77777777" w:rsidR="003A1A5D" w:rsidRPr="00D24847" w:rsidRDefault="003A1A5D" w:rsidP="003A1A5D">
      <w:pPr>
        <w:pStyle w:val="Testo1"/>
        <w:spacing w:line="240" w:lineRule="atLeast"/>
        <w:rPr>
          <w:rStyle w:val="Collegamentoipertestuale"/>
          <w:spacing w:val="-5"/>
          <w:lang w:val="en-GB"/>
        </w:rPr>
      </w:pPr>
    </w:p>
    <w:p w14:paraId="4D1C703E" w14:textId="77777777" w:rsidR="003A1A5D" w:rsidRPr="00D24847" w:rsidRDefault="003A1A5D" w:rsidP="003A1A5D">
      <w:pPr>
        <w:pStyle w:val="Testo1"/>
        <w:spacing w:line="240" w:lineRule="atLeast"/>
        <w:rPr>
          <w:i/>
          <w:iCs/>
          <w:spacing w:val="-5"/>
          <w:sz w:val="20"/>
          <w:lang w:val="en-GB"/>
        </w:rPr>
      </w:pPr>
      <w:r w:rsidRPr="00D24847">
        <w:rPr>
          <w:i/>
          <w:iCs/>
          <w:spacing w:val="-5"/>
          <w:sz w:val="20"/>
          <w:lang w:val="en-GB"/>
        </w:rPr>
        <w:t xml:space="preserve">II. </w:t>
      </w:r>
      <w:r>
        <w:rPr>
          <w:i/>
          <w:iCs/>
          <w:spacing w:val="-5"/>
          <w:sz w:val="20"/>
          <w:lang w:val="en-GB"/>
        </w:rPr>
        <w:t>Special p</w:t>
      </w:r>
      <w:r w:rsidRPr="00D24847">
        <w:rPr>
          <w:i/>
          <w:iCs/>
          <w:spacing w:val="-5"/>
          <w:sz w:val="20"/>
          <w:lang w:val="en-GB"/>
        </w:rPr>
        <w:t>art</w:t>
      </w:r>
    </w:p>
    <w:p w14:paraId="570ACDB1" w14:textId="77777777" w:rsidR="003A1A5D" w:rsidRPr="00D24847" w:rsidRDefault="003A1A5D" w:rsidP="003A1A5D">
      <w:pPr>
        <w:pStyle w:val="Testo1"/>
        <w:rPr>
          <w:spacing w:val="-5"/>
          <w:lang w:val="en-GB"/>
        </w:rPr>
      </w:pPr>
      <w:r w:rsidRPr="00D24847">
        <w:rPr>
          <w:smallCaps/>
          <w:szCs w:val="18"/>
          <w:lang w:val="en-GB"/>
        </w:rPr>
        <w:t xml:space="preserve">A. Arena-F. </w:t>
      </w:r>
      <w:r w:rsidRPr="00522027">
        <w:rPr>
          <w:smallCaps/>
          <w:szCs w:val="18"/>
        </w:rPr>
        <w:t>Bestagno-G. Rossolillo</w:t>
      </w:r>
      <w:r w:rsidRPr="00522027">
        <w:rPr>
          <w:szCs w:val="18"/>
        </w:rPr>
        <w:t xml:space="preserve">, </w:t>
      </w:r>
      <w:r w:rsidRPr="00522027">
        <w:rPr>
          <w:i/>
          <w:szCs w:val="18"/>
        </w:rPr>
        <w:t>Mercato unico e libertà di circolazione nell’Unione europea</w:t>
      </w:r>
      <w:r w:rsidRPr="00522027">
        <w:rPr>
          <w:szCs w:val="18"/>
        </w:rPr>
        <w:t>, Giappichelli, 2020, 2</w:t>
      </w:r>
      <w:r w:rsidRPr="00522027">
        <w:rPr>
          <w:szCs w:val="18"/>
          <w:vertAlign w:val="superscript"/>
        </w:rPr>
        <w:t>nd</w:t>
      </w:r>
      <w:r w:rsidRPr="00522027">
        <w:rPr>
          <w:szCs w:val="18"/>
        </w:rPr>
        <w:t xml:space="preserve"> ed. </w:t>
      </w:r>
      <w:hyperlink r:id="rId6" w:history="1">
        <w:r>
          <w:rPr>
            <w:rStyle w:val="Collegamentoipertestuale"/>
            <w:rFonts w:ascii="Times New Roman" w:eastAsiaTheme="majorEastAsia" w:hAnsi="Times New Roman"/>
            <w:i/>
            <w:szCs w:val="18"/>
            <w:lang w:val="en-GB"/>
          </w:rPr>
          <w:t>Buy from</w:t>
        </w:r>
        <w:r w:rsidRPr="00D24847">
          <w:rPr>
            <w:rStyle w:val="Collegamentoipertestuale"/>
            <w:rFonts w:ascii="Times New Roman" w:eastAsiaTheme="majorEastAsia" w:hAnsi="Times New Roman"/>
            <w:i/>
            <w:szCs w:val="18"/>
            <w:lang w:val="en-GB"/>
          </w:rPr>
          <w:t xml:space="preserve"> VP</w:t>
        </w:r>
      </w:hyperlink>
      <w:r w:rsidRPr="00D24847">
        <w:rPr>
          <w:szCs w:val="18"/>
          <w:lang w:val="en-GB"/>
        </w:rPr>
        <w:t xml:space="preserve">. </w:t>
      </w:r>
      <w:r w:rsidRPr="00F23ABA">
        <w:rPr>
          <w:szCs w:val="18"/>
          <w:lang w:val="en-GB"/>
        </w:rPr>
        <w:t xml:space="preserve">The </w:t>
      </w:r>
      <w:r w:rsidRPr="00F23ABA">
        <w:rPr>
          <w:szCs w:val="18"/>
          <w:u w:val="single"/>
          <w:lang w:val="en-GB"/>
        </w:rPr>
        <w:t>study should be limited to</w:t>
      </w:r>
      <w:r w:rsidRPr="00F23ABA">
        <w:rPr>
          <w:szCs w:val="18"/>
          <w:lang w:val="en-GB"/>
        </w:rPr>
        <w:t xml:space="preserve"> the following pages:</w:t>
      </w:r>
      <w:r>
        <w:rPr>
          <w:szCs w:val="18"/>
          <w:lang w:val="en-GB"/>
        </w:rPr>
        <w:t xml:space="preserve"> </w:t>
      </w:r>
      <w:r w:rsidRPr="00F23ABA">
        <w:rPr>
          <w:szCs w:val="18"/>
          <w:lang w:val="en-GB"/>
        </w:rPr>
        <w:t>1-160; 173-209; 221-249; 273-287; 293-300. In the</w:t>
      </w:r>
      <w:r>
        <w:rPr>
          <w:szCs w:val="18"/>
          <w:lang w:val="en-GB"/>
        </w:rPr>
        <w:t>se</w:t>
      </w:r>
      <w:r w:rsidRPr="00F23ABA">
        <w:rPr>
          <w:szCs w:val="18"/>
          <w:lang w:val="en-GB"/>
        </w:rPr>
        <w:t xml:space="preserve"> pages, </w:t>
      </w:r>
      <w:r w:rsidRPr="00F23ABA">
        <w:rPr>
          <w:b/>
          <w:bCs/>
          <w:szCs w:val="18"/>
          <w:lang w:val="en-GB"/>
        </w:rPr>
        <w:t>all</w:t>
      </w:r>
      <w:r w:rsidRPr="00F23ABA">
        <w:rPr>
          <w:szCs w:val="18"/>
          <w:lang w:val="en-GB"/>
        </w:rPr>
        <w:t xml:space="preserve"> </w:t>
      </w:r>
      <w:r w:rsidRPr="00F23ABA">
        <w:rPr>
          <w:b/>
          <w:bCs/>
          <w:szCs w:val="18"/>
          <w:lang w:val="en-GB"/>
        </w:rPr>
        <w:t>the Comments</w:t>
      </w:r>
      <w:r>
        <w:rPr>
          <w:b/>
          <w:bCs/>
          <w:szCs w:val="18"/>
          <w:lang w:val="en-GB"/>
        </w:rPr>
        <w:t xml:space="preserve"> and </w:t>
      </w:r>
      <w:r w:rsidRPr="00F23ABA">
        <w:rPr>
          <w:b/>
          <w:bCs/>
          <w:szCs w:val="18"/>
          <w:u w:val="single"/>
          <w:lang w:val="en-GB"/>
        </w:rPr>
        <w:t>only</w:t>
      </w:r>
      <w:r w:rsidRPr="00F23ABA">
        <w:rPr>
          <w:b/>
          <w:bCs/>
          <w:szCs w:val="18"/>
          <w:lang w:val="en-GB"/>
        </w:rPr>
        <w:t xml:space="preserve"> the judgments indicated </w:t>
      </w:r>
      <w:r>
        <w:rPr>
          <w:b/>
          <w:bCs/>
          <w:szCs w:val="18"/>
          <w:lang w:val="en-GB"/>
        </w:rPr>
        <w:t>below</w:t>
      </w:r>
      <w:r w:rsidRPr="00F23ABA">
        <w:rPr>
          <w:szCs w:val="18"/>
          <w:lang w:val="en-GB"/>
        </w:rPr>
        <w:t xml:space="preserve"> </w:t>
      </w:r>
      <w:r>
        <w:rPr>
          <w:szCs w:val="18"/>
          <w:lang w:val="en-GB"/>
        </w:rPr>
        <w:t>will have to be studied,</w:t>
      </w:r>
      <w:r w:rsidRPr="00F23ABA">
        <w:rPr>
          <w:szCs w:val="18"/>
          <w:lang w:val="en-GB"/>
        </w:rPr>
        <w:t xml:space="preserve"> </w:t>
      </w:r>
      <w:r>
        <w:rPr>
          <w:szCs w:val="18"/>
          <w:lang w:val="en-GB"/>
        </w:rPr>
        <w:t>while</w:t>
      </w:r>
      <w:r w:rsidRPr="00F23ABA">
        <w:rPr>
          <w:szCs w:val="18"/>
          <w:lang w:val="en-GB"/>
        </w:rPr>
        <w:t xml:space="preserve"> </w:t>
      </w:r>
      <w:r>
        <w:rPr>
          <w:szCs w:val="18"/>
          <w:lang w:val="en-GB"/>
        </w:rPr>
        <w:t xml:space="preserve">the simple consultation of the the </w:t>
      </w:r>
      <w:r w:rsidRPr="00F23ABA">
        <w:rPr>
          <w:szCs w:val="18"/>
          <w:lang w:val="en-GB"/>
        </w:rPr>
        <w:t xml:space="preserve">norms </w:t>
      </w:r>
      <w:r>
        <w:rPr>
          <w:szCs w:val="18"/>
          <w:lang w:val="en-GB"/>
        </w:rPr>
        <w:t>included</w:t>
      </w:r>
      <w:r w:rsidRPr="00F23ABA">
        <w:rPr>
          <w:szCs w:val="18"/>
          <w:lang w:val="en-GB"/>
        </w:rPr>
        <w:t xml:space="preserve"> in the </w:t>
      </w:r>
      <w:r>
        <w:rPr>
          <w:szCs w:val="18"/>
          <w:lang w:val="en-GB"/>
        </w:rPr>
        <w:t>text</w:t>
      </w:r>
      <w:r w:rsidRPr="00F23ABA">
        <w:rPr>
          <w:szCs w:val="18"/>
          <w:lang w:val="en-GB"/>
        </w:rPr>
        <w:t xml:space="preserve">book </w:t>
      </w:r>
      <w:r>
        <w:rPr>
          <w:szCs w:val="18"/>
          <w:lang w:val="en-GB"/>
        </w:rPr>
        <w:t xml:space="preserve">is </w:t>
      </w:r>
      <w:r w:rsidRPr="00F23ABA">
        <w:rPr>
          <w:szCs w:val="18"/>
          <w:lang w:val="en-GB"/>
        </w:rPr>
        <w:t xml:space="preserve">recommended </w:t>
      </w:r>
      <w:r>
        <w:rPr>
          <w:szCs w:val="18"/>
          <w:lang w:val="en-GB"/>
        </w:rPr>
        <w:t>to</w:t>
      </w:r>
      <w:r w:rsidRPr="00F23ABA">
        <w:rPr>
          <w:szCs w:val="18"/>
          <w:lang w:val="en-GB"/>
        </w:rPr>
        <w:t xml:space="preserve"> better understand the Comments in the chapters and the sentences</w:t>
      </w:r>
      <w:r w:rsidRPr="00D24847">
        <w:rPr>
          <w:szCs w:val="18"/>
          <w:lang w:val="en-GB"/>
        </w:rPr>
        <w:t>.</w:t>
      </w:r>
    </w:p>
    <w:p w14:paraId="5481F0F7" w14:textId="77777777" w:rsidR="003A1A5D" w:rsidRPr="00D24847" w:rsidRDefault="003A1A5D" w:rsidP="003A1A5D">
      <w:pPr>
        <w:pStyle w:val="Testo1"/>
        <w:spacing w:line="240" w:lineRule="atLeast"/>
        <w:rPr>
          <w:smallCaps/>
          <w:spacing w:val="-5"/>
          <w:szCs w:val="18"/>
          <w:lang w:val="en-GB"/>
        </w:rPr>
      </w:pPr>
    </w:p>
    <w:p w14:paraId="180622A1" w14:textId="77777777" w:rsidR="003A1A5D" w:rsidRPr="00D24847" w:rsidRDefault="003A1A5D" w:rsidP="003A1A5D">
      <w:pPr>
        <w:pStyle w:val="Testo1"/>
        <w:spacing w:line="240" w:lineRule="atLeast"/>
        <w:ind w:left="0" w:firstLine="0"/>
        <w:rPr>
          <w:spacing w:val="-5"/>
          <w:lang w:val="en-GB"/>
        </w:rPr>
      </w:pPr>
    </w:p>
    <w:p w14:paraId="3E6B275F" w14:textId="77777777" w:rsidR="003A1A5D" w:rsidRPr="00D24847" w:rsidRDefault="003A1A5D" w:rsidP="003A1A5D">
      <w:pPr>
        <w:pStyle w:val="Testo1"/>
        <w:spacing w:line="240" w:lineRule="atLeast"/>
        <w:rPr>
          <w:spacing w:val="-5"/>
          <w:szCs w:val="18"/>
          <w:lang w:val="en-GB"/>
        </w:rPr>
      </w:pPr>
      <w:r w:rsidRPr="00A21841">
        <w:rPr>
          <w:spacing w:val="-5"/>
          <w:lang w:val="en-GB"/>
        </w:rPr>
        <w:t xml:space="preserve">For </w:t>
      </w:r>
      <w:r w:rsidRPr="00A21841">
        <w:rPr>
          <w:i/>
          <w:iCs/>
          <w:spacing w:val="-5"/>
          <w:lang w:val="en-GB"/>
        </w:rPr>
        <w:t>attending students</w:t>
      </w:r>
      <w:r w:rsidRPr="00A21841">
        <w:rPr>
          <w:spacing w:val="-5"/>
          <w:lang w:val="en-GB"/>
        </w:rPr>
        <w:t xml:space="preserve">, the preparation of the exam will </w:t>
      </w:r>
      <w:r>
        <w:rPr>
          <w:spacing w:val="-5"/>
          <w:lang w:val="en-GB"/>
        </w:rPr>
        <w:t>be based on</w:t>
      </w:r>
      <w:r w:rsidRPr="00A21841">
        <w:rPr>
          <w:spacing w:val="-5"/>
          <w:lang w:val="en-GB"/>
        </w:rPr>
        <w:t xml:space="preserve"> the lecture notes, supplemented by the parts of the manuals that will be indicated in class and by the additional materials that will be made available on the Blackboard platform</w:t>
      </w:r>
      <w:r w:rsidRPr="00D24847">
        <w:rPr>
          <w:spacing w:val="-5"/>
          <w:szCs w:val="18"/>
          <w:lang w:val="en-GB"/>
        </w:rPr>
        <w:t>.</w:t>
      </w:r>
    </w:p>
    <w:p w14:paraId="2FD239C9" w14:textId="77777777" w:rsidR="003A1A5D" w:rsidRPr="00D24847" w:rsidRDefault="003A1A5D" w:rsidP="003A1A5D">
      <w:pPr>
        <w:pStyle w:val="Testo1"/>
        <w:spacing w:after="120" w:line="240" w:lineRule="atLeast"/>
        <w:rPr>
          <w:spacing w:val="-5"/>
          <w:lang w:val="en-GB"/>
        </w:rPr>
      </w:pPr>
      <w:r w:rsidRPr="00A21841">
        <w:rPr>
          <w:i/>
          <w:iCs/>
          <w:spacing w:val="-5"/>
          <w:lang w:val="en-GB"/>
        </w:rPr>
        <w:t>Non-attending students</w:t>
      </w:r>
      <w:r w:rsidRPr="00A21841">
        <w:rPr>
          <w:spacing w:val="-5"/>
          <w:lang w:val="en-GB"/>
        </w:rPr>
        <w:t xml:space="preserve"> are required to study the two manuals </w:t>
      </w:r>
      <w:r>
        <w:rPr>
          <w:spacing w:val="-5"/>
          <w:lang w:val="en-GB"/>
        </w:rPr>
        <w:t xml:space="preserve">specified in </w:t>
      </w:r>
      <w:r w:rsidRPr="00A21841">
        <w:rPr>
          <w:spacing w:val="-5"/>
          <w:lang w:val="en-GB"/>
        </w:rPr>
        <w:t>the indications previously provided</w:t>
      </w:r>
      <w:r w:rsidRPr="00D24847">
        <w:rPr>
          <w:spacing w:val="-5"/>
          <w:lang w:val="en-GB"/>
        </w:rPr>
        <w:t>.</w:t>
      </w:r>
    </w:p>
    <w:p w14:paraId="2EFF986E" w14:textId="77777777" w:rsidR="003A1A5D" w:rsidRPr="00D24847" w:rsidRDefault="003A1A5D" w:rsidP="003A1A5D">
      <w:pPr>
        <w:pStyle w:val="Testo1"/>
        <w:spacing w:line="240" w:lineRule="atLeast"/>
        <w:ind w:left="0" w:firstLine="284"/>
        <w:rPr>
          <w:lang w:val="en-GB"/>
        </w:rPr>
      </w:pPr>
      <w:r w:rsidRPr="00A21841">
        <w:rPr>
          <w:lang w:val="en-GB"/>
        </w:rPr>
        <w:t xml:space="preserve">For an adequate understanding of European Union law, it is in any case </w:t>
      </w:r>
      <w:r w:rsidRPr="00A21841">
        <w:rPr>
          <w:i/>
          <w:iCs/>
          <w:lang w:val="en-GB"/>
        </w:rPr>
        <w:t>necessary</w:t>
      </w:r>
      <w:r w:rsidRPr="00A21841">
        <w:rPr>
          <w:lang w:val="en-GB"/>
        </w:rPr>
        <w:t xml:space="preserve"> to consult the sources, easily </w:t>
      </w:r>
      <w:r>
        <w:rPr>
          <w:lang w:val="en-GB"/>
        </w:rPr>
        <w:t>found</w:t>
      </w:r>
      <w:r w:rsidRPr="00A21841">
        <w:rPr>
          <w:lang w:val="en-GB"/>
        </w:rPr>
        <w:t xml:space="preserve"> online or collected in one of the </w:t>
      </w:r>
      <w:r>
        <w:rPr>
          <w:lang w:val="en-GB"/>
        </w:rPr>
        <w:t xml:space="preserve">commercially </w:t>
      </w:r>
      <w:r w:rsidRPr="00A21841">
        <w:rPr>
          <w:lang w:val="en-GB"/>
        </w:rPr>
        <w:t xml:space="preserve">available codes, including e.g. </w:t>
      </w:r>
      <w:r w:rsidRPr="00D24847">
        <w:rPr>
          <w:smallCaps/>
          <w:lang w:val="en-GB"/>
        </w:rPr>
        <w:t xml:space="preserve">B. Nascimbene, </w:t>
      </w:r>
      <w:r w:rsidRPr="00D24847">
        <w:rPr>
          <w:i/>
          <w:lang w:val="en-GB"/>
        </w:rPr>
        <w:t>Unione europea. Trattati</w:t>
      </w:r>
      <w:r w:rsidRPr="00A21841">
        <w:rPr>
          <w:lang w:val="en-GB"/>
        </w:rPr>
        <w:t xml:space="preserve">, Giappichelli, Turin, </w:t>
      </w:r>
      <w:r>
        <w:rPr>
          <w:lang w:val="en-GB"/>
        </w:rPr>
        <w:t>latest ed. a</w:t>
      </w:r>
      <w:r w:rsidRPr="00A21841">
        <w:rPr>
          <w:lang w:val="en-GB"/>
        </w:rPr>
        <w:t>vailable</w:t>
      </w:r>
      <w:r w:rsidRPr="00D24847">
        <w:rPr>
          <w:lang w:val="en-GB"/>
        </w:rPr>
        <w:t xml:space="preserve">. </w:t>
      </w:r>
    </w:p>
    <w:p w14:paraId="1E878795" w14:textId="77777777" w:rsidR="003A1A5D" w:rsidRPr="00D24847" w:rsidRDefault="003A1A5D" w:rsidP="003A1A5D">
      <w:pPr>
        <w:spacing w:before="240" w:after="120" w:line="220" w:lineRule="exact"/>
        <w:rPr>
          <w:b/>
          <w:i/>
          <w:sz w:val="18"/>
          <w:lang w:val="en-GB"/>
        </w:rPr>
      </w:pPr>
    </w:p>
    <w:p w14:paraId="50692DE1" w14:textId="77777777" w:rsidR="003A1A5D" w:rsidRPr="00D24847" w:rsidRDefault="003A1A5D" w:rsidP="003A1A5D">
      <w:pPr>
        <w:spacing w:before="240" w:after="120" w:line="220" w:lineRule="exact"/>
        <w:rPr>
          <w:b/>
          <w:i/>
          <w:sz w:val="18"/>
          <w:lang w:val="en-GB"/>
        </w:rPr>
      </w:pPr>
      <w:bookmarkStart w:id="3" w:name="_Hlk76557191"/>
      <w:r w:rsidRPr="00D24847">
        <w:rPr>
          <w:b/>
          <w:i/>
          <w:sz w:val="18"/>
          <w:lang w:val="en-GB"/>
        </w:rPr>
        <w:t>TEACHING METHOD</w:t>
      </w:r>
      <w:bookmarkEnd w:id="3"/>
    </w:p>
    <w:p w14:paraId="6E11E6E7" w14:textId="77777777" w:rsidR="003A1A5D" w:rsidRPr="00D24847" w:rsidRDefault="003A1A5D" w:rsidP="003A1A5D">
      <w:pPr>
        <w:pStyle w:val="Testo2"/>
        <w:rPr>
          <w:lang w:val="en-GB"/>
        </w:rPr>
      </w:pPr>
      <w:r w:rsidRPr="007D4186">
        <w:rPr>
          <w:lang w:val="en-GB"/>
        </w:rPr>
        <w:t xml:space="preserve">The traditional </w:t>
      </w:r>
      <w:r>
        <w:rPr>
          <w:lang w:val="en-GB"/>
        </w:rPr>
        <w:t>“</w:t>
      </w:r>
      <w:r w:rsidRPr="007D4186">
        <w:rPr>
          <w:lang w:val="en-GB"/>
        </w:rPr>
        <w:t>frontal</w:t>
      </w:r>
      <w:r>
        <w:rPr>
          <w:lang w:val="en-GB"/>
        </w:rPr>
        <w:t>”</w:t>
      </w:r>
      <w:r w:rsidRPr="007D4186">
        <w:rPr>
          <w:lang w:val="en-GB"/>
        </w:rPr>
        <w:t xml:space="preserve"> lessons will be </w:t>
      </w:r>
      <w:r>
        <w:rPr>
          <w:lang w:val="en-GB"/>
        </w:rPr>
        <w:t>combined with</w:t>
      </w:r>
      <w:r w:rsidRPr="007D4186">
        <w:rPr>
          <w:lang w:val="en-GB"/>
        </w:rPr>
        <w:t xml:space="preserve"> classroom examination of </w:t>
      </w:r>
      <w:r>
        <w:rPr>
          <w:lang w:val="en-GB"/>
        </w:rPr>
        <w:t>“</w:t>
      </w:r>
      <w:r w:rsidRPr="007D4186">
        <w:rPr>
          <w:lang w:val="en-GB"/>
        </w:rPr>
        <w:t>materials</w:t>
      </w:r>
      <w:r>
        <w:rPr>
          <w:lang w:val="en-GB"/>
        </w:rPr>
        <w:t>”</w:t>
      </w:r>
      <w:r w:rsidRPr="007D4186">
        <w:rPr>
          <w:lang w:val="en-GB"/>
        </w:rPr>
        <w:t xml:space="preserve"> aimed at illustrating the contents of the course with a case-study method and encouraging the active participation of students. Attention will also be paid to the search for sources using information technology</w:t>
      </w:r>
      <w:r w:rsidRPr="00D24847">
        <w:rPr>
          <w:lang w:val="en-GB"/>
        </w:rPr>
        <w:t>.</w:t>
      </w:r>
    </w:p>
    <w:p w14:paraId="3FD427C6" w14:textId="77777777" w:rsidR="003A1A5D" w:rsidRPr="00D24847" w:rsidRDefault="003A1A5D" w:rsidP="003A1A5D">
      <w:pPr>
        <w:spacing w:before="240" w:after="120" w:line="220" w:lineRule="exact"/>
        <w:rPr>
          <w:b/>
          <w:i/>
          <w:sz w:val="18"/>
          <w:lang w:val="en-GB"/>
        </w:rPr>
      </w:pPr>
      <w:bookmarkStart w:id="4" w:name="_Hlk76557213"/>
      <w:r w:rsidRPr="00D24847">
        <w:rPr>
          <w:b/>
          <w:i/>
          <w:sz w:val="18"/>
          <w:lang w:val="en-GB"/>
        </w:rPr>
        <w:t>ASSESSMENT METHOD AND CRITERIA</w:t>
      </w:r>
      <w:bookmarkEnd w:id="4"/>
    </w:p>
    <w:p w14:paraId="4906BA82" w14:textId="77777777" w:rsidR="003A1A5D" w:rsidRPr="00D24847" w:rsidRDefault="003A1A5D" w:rsidP="003A1A5D">
      <w:pPr>
        <w:pStyle w:val="Testo2"/>
        <w:rPr>
          <w:szCs w:val="18"/>
          <w:lang w:val="en-GB"/>
        </w:rPr>
      </w:pPr>
      <w:r w:rsidRPr="001A64EA">
        <w:rPr>
          <w:szCs w:val="18"/>
          <w:lang w:val="en-GB"/>
        </w:rPr>
        <w:t xml:space="preserve">Oral exam on the </w:t>
      </w:r>
      <w:r>
        <w:rPr>
          <w:szCs w:val="18"/>
          <w:lang w:val="en-GB"/>
        </w:rPr>
        <w:t>topics</w:t>
      </w:r>
      <w:r w:rsidRPr="001A64EA">
        <w:rPr>
          <w:szCs w:val="18"/>
          <w:lang w:val="en-GB"/>
        </w:rPr>
        <w:t xml:space="preserve"> of the program</w:t>
      </w:r>
      <w:r>
        <w:rPr>
          <w:szCs w:val="18"/>
          <w:lang w:val="en-GB"/>
        </w:rPr>
        <w:t>me</w:t>
      </w:r>
      <w:r w:rsidRPr="001A64EA">
        <w:rPr>
          <w:szCs w:val="18"/>
          <w:lang w:val="en-GB"/>
        </w:rPr>
        <w:t xml:space="preserve"> indicated above, as specified in the </w:t>
      </w:r>
      <w:r>
        <w:rPr>
          <w:szCs w:val="18"/>
          <w:lang w:val="en-GB"/>
        </w:rPr>
        <w:t>reading list,</w:t>
      </w:r>
      <w:r w:rsidRPr="001A64EA">
        <w:rPr>
          <w:szCs w:val="18"/>
          <w:lang w:val="en-GB"/>
        </w:rPr>
        <w:t xml:space="preserve"> </w:t>
      </w:r>
      <w:r>
        <w:rPr>
          <w:szCs w:val="18"/>
          <w:lang w:val="en-GB"/>
        </w:rPr>
        <w:t>also concerning</w:t>
      </w:r>
      <w:r w:rsidRPr="001A64EA">
        <w:rPr>
          <w:szCs w:val="18"/>
          <w:lang w:val="en-GB"/>
        </w:rPr>
        <w:t xml:space="preserve"> the difference between attending and non-attending students. </w:t>
      </w:r>
      <w:r>
        <w:rPr>
          <w:szCs w:val="18"/>
          <w:lang w:val="en-GB"/>
        </w:rPr>
        <w:t>A</w:t>
      </w:r>
      <w:r w:rsidRPr="001A64EA">
        <w:rPr>
          <w:szCs w:val="18"/>
          <w:lang w:val="en-GB"/>
        </w:rPr>
        <w:t xml:space="preserve">ttending students will be offered the possibility of dividing the exam into two parts, according to the procedures agreed with the </w:t>
      </w:r>
      <w:r>
        <w:rPr>
          <w:szCs w:val="18"/>
          <w:lang w:val="en-GB"/>
        </w:rPr>
        <w:t>lecturer</w:t>
      </w:r>
      <w:r w:rsidRPr="001A64EA">
        <w:rPr>
          <w:szCs w:val="18"/>
          <w:lang w:val="en-GB"/>
        </w:rPr>
        <w:t xml:space="preserve"> at the beginning of the course</w:t>
      </w:r>
      <w:r w:rsidRPr="00D24847">
        <w:rPr>
          <w:szCs w:val="18"/>
          <w:lang w:val="en-GB"/>
        </w:rPr>
        <w:t>.</w:t>
      </w:r>
    </w:p>
    <w:p w14:paraId="222DF66E" w14:textId="77777777" w:rsidR="003A1A5D" w:rsidRPr="00D24847" w:rsidRDefault="003A1A5D" w:rsidP="003A1A5D">
      <w:pPr>
        <w:pStyle w:val="Testo2"/>
        <w:rPr>
          <w:szCs w:val="18"/>
          <w:lang w:val="en-GB"/>
        </w:rPr>
      </w:pPr>
      <w:r w:rsidRPr="001A64EA">
        <w:rPr>
          <w:szCs w:val="18"/>
          <w:lang w:val="en-GB"/>
        </w:rPr>
        <w:t xml:space="preserve">The </w:t>
      </w:r>
      <w:r>
        <w:rPr>
          <w:szCs w:val="18"/>
          <w:lang w:val="en-GB"/>
        </w:rPr>
        <w:t>assessment</w:t>
      </w:r>
      <w:r w:rsidRPr="001A64EA">
        <w:rPr>
          <w:szCs w:val="18"/>
          <w:lang w:val="en-GB"/>
        </w:rPr>
        <w:t xml:space="preserve"> will be </w:t>
      </w:r>
      <w:r>
        <w:rPr>
          <w:szCs w:val="18"/>
          <w:lang w:val="en-GB"/>
        </w:rPr>
        <w:t>marked</w:t>
      </w:r>
      <w:r w:rsidRPr="001A64EA">
        <w:rPr>
          <w:szCs w:val="18"/>
          <w:lang w:val="en-GB"/>
        </w:rPr>
        <w:t xml:space="preserve"> out of thirty, taking into account relevance of answer</w:t>
      </w:r>
      <w:r>
        <w:rPr>
          <w:szCs w:val="18"/>
          <w:lang w:val="en-GB"/>
        </w:rPr>
        <w:t>s</w:t>
      </w:r>
      <w:r w:rsidRPr="001A64EA">
        <w:rPr>
          <w:szCs w:val="18"/>
          <w:lang w:val="en-GB"/>
        </w:rPr>
        <w:t xml:space="preserve">, knowledge of the topics covered by the course and </w:t>
      </w:r>
      <w:r>
        <w:rPr>
          <w:szCs w:val="18"/>
          <w:lang w:val="en-GB"/>
        </w:rPr>
        <w:t xml:space="preserve">the </w:t>
      </w:r>
      <w:r w:rsidRPr="001A64EA">
        <w:rPr>
          <w:szCs w:val="18"/>
          <w:lang w:val="en-GB"/>
        </w:rPr>
        <w:t>critical understanding of the issues addressed, as well as the ability to present and use relevant legal language</w:t>
      </w:r>
      <w:r w:rsidRPr="00D24847">
        <w:rPr>
          <w:szCs w:val="18"/>
          <w:lang w:val="en-GB"/>
        </w:rPr>
        <w:t>.</w:t>
      </w:r>
    </w:p>
    <w:p w14:paraId="58538E56" w14:textId="77777777" w:rsidR="003A1A5D" w:rsidRPr="00D24847" w:rsidRDefault="003A1A5D" w:rsidP="003A1A5D">
      <w:pPr>
        <w:pStyle w:val="Testo2"/>
        <w:rPr>
          <w:szCs w:val="18"/>
          <w:lang w:val="en-GB"/>
        </w:rPr>
      </w:pPr>
    </w:p>
    <w:p w14:paraId="188851CF" w14:textId="77777777" w:rsidR="003A1A5D" w:rsidRPr="00D24847" w:rsidRDefault="003A1A5D" w:rsidP="003A1A5D">
      <w:pPr>
        <w:pStyle w:val="Testo2"/>
        <w:ind w:firstLine="0"/>
        <w:rPr>
          <w:b/>
          <w:bCs/>
          <w:u w:val="single"/>
          <w:lang w:val="en-GB"/>
        </w:rPr>
      </w:pPr>
      <w:r w:rsidRPr="00381481">
        <w:rPr>
          <w:b/>
          <w:bCs/>
          <w:u w:val="single"/>
          <w:lang w:val="en-GB"/>
        </w:rPr>
        <w:t xml:space="preserve">Judgments of the Court of Justice to be prepared </w:t>
      </w:r>
      <w:r>
        <w:rPr>
          <w:b/>
          <w:bCs/>
          <w:u w:val="single"/>
          <w:lang w:val="en-GB"/>
        </w:rPr>
        <w:t>using</w:t>
      </w:r>
      <w:r w:rsidRPr="00381481">
        <w:rPr>
          <w:b/>
          <w:bCs/>
          <w:u w:val="single"/>
          <w:lang w:val="en-GB"/>
        </w:rPr>
        <w:t xml:space="preserve"> the volume </w:t>
      </w:r>
      <w:r w:rsidRPr="00D24847">
        <w:rPr>
          <w:b/>
          <w:bCs/>
          <w:u w:val="single"/>
          <w:lang w:val="en-GB"/>
        </w:rPr>
        <w:t>“Mercato unico e libertà di circolazione nell’Unione europea”:</w:t>
      </w:r>
      <w:r>
        <w:rPr>
          <w:b/>
          <w:bCs/>
          <w:u w:val="single"/>
          <w:lang w:val="en-GB"/>
        </w:rPr>
        <w:t xml:space="preserve"> </w:t>
      </w:r>
    </w:p>
    <w:p w14:paraId="40B74080" w14:textId="77777777" w:rsidR="003A1A5D" w:rsidRPr="0036086D" w:rsidRDefault="003A1A5D" w:rsidP="003A1A5D">
      <w:pPr>
        <w:pStyle w:val="Testo2"/>
        <w:ind w:firstLine="0"/>
        <w:rPr>
          <w:u w:val="single"/>
        </w:rPr>
      </w:pPr>
      <w:r w:rsidRPr="0036086D">
        <w:rPr>
          <w:u w:val="single"/>
        </w:rPr>
        <w:t xml:space="preserve">Capitolo 1: La libera circolazione delle merci </w:t>
      </w:r>
    </w:p>
    <w:p w14:paraId="51324138" w14:textId="77777777" w:rsidR="003A1A5D" w:rsidRDefault="003A1A5D" w:rsidP="003A1A5D">
      <w:pPr>
        <w:pStyle w:val="Testo2"/>
        <w:ind w:firstLine="0"/>
      </w:pPr>
      <w:r>
        <w:t>A.</w:t>
      </w:r>
      <w:r>
        <w:tab/>
        <w:t xml:space="preserve">Il mercato interno e l’unione doganale </w:t>
      </w:r>
    </w:p>
    <w:p w14:paraId="0FFCEF91" w14:textId="77777777" w:rsidR="003A1A5D" w:rsidRDefault="003A1A5D" w:rsidP="003A1A5D">
      <w:pPr>
        <w:pStyle w:val="Testo2"/>
      </w:pPr>
      <w:r>
        <w:t>3.3.</w:t>
      </w:r>
      <w:r>
        <w:tab/>
        <w:t>Sentenza 10 dicembre 1968, causa 7/68, Comm. c. Italia (“Italian Art”) (p. 14)</w:t>
      </w:r>
    </w:p>
    <w:p w14:paraId="757F4891" w14:textId="77777777" w:rsidR="003A1A5D" w:rsidRDefault="003A1A5D" w:rsidP="003A1A5D">
      <w:pPr>
        <w:pStyle w:val="Testo2"/>
        <w:ind w:left="284" w:hanging="284"/>
      </w:pPr>
      <w:r>
        <w:t>B.</w:t>
      </w:r>
      <w:r>
        <w:tab/>
        <w:t xml:space="preserve">Rilevanza ed effetti delle norme di diritto dell’UE in materia di libera circolazione delle merci </w:t>
      </w:r>
    </w:p>
    <w:p w14:paraId="2F0FDA0A" w14:textId="77777777" w:rsidR="003A1A5D" w:rsidRDefault="003A1A5D" w:rsidP="003A1A5D">
      <w:pPr>
        <w:pStyle w:val="Testo2"/>
        <w:ind w:left="284" w:firstLine="0"/>
      </w:pPr>
      <w:r>
        <w:t>2.5</w:t>
      </w:r>
      <w:r>
        <w:tab/>
        <w:t>Sentenza 5 marzo 1996, cause riunite C-46/96 e C-48/93, Brasserie du Pêcheur (p. 27)</w:t>
      </w:r>
    </w:p>
    <w:p w14:paraId="0E2C72C0" w14:textId="77777777" w:rsidR="003A1A5D" w:rsidRDefault="003A1A5D" w:rsidP="003A1A5D">
      <w:pPr>
        <w:pStyle w:val="Testo2"/>
        <w:ind w:firstLine="0"/>
      </w:pPr>
      <w:r>
        <w:t>C.</w:t>
      </w:r>
      <w:r>
        <w:tab/>
        <w:t>Il divieto di ostacoli di natura fiscale nel commercio tra stati membri</w:t>
      </w:r>
    </w:p>
    <w:p w14:paraId="5A3ADD4E" w14:textId="77777777" w:rsidR="003A1A5D" w:rsidRDefault="003A1A5D" w:rsidP="003A1A5D">
      <w:pPr>
        <w:pStyle w:val="Testo2"/>
      </w:pPr>
      <w:r>
        <w:t>2.5</w:t>
      </w:r>
      <w:r>
        <w:tab/>
        <w:t>Sentenza 26 febbraio 1975, causa 63-74, Cadsky (p. 40)</w:t>
      </w:r>
    </w:p>
    <w:p w14:paraId="1F48E3F6" w14:textId="77777777" w:rsidR="003A1A5D" w:rsidRDefault="003A1A5D" w:rsidP="003A1A5D">
      <w:pPr>
        <w:pStyle w:val="Testo2"/>
        <w:ind w:left="284" w:firstLine="0"/>
      </w:pPr>
      <w:r>
        <w:t>2.8</w:t>
      </w:r>
      <w:r>
        <w:tab/>
        <w:t>Sentenza 4 maggio 1986, causa 106/84, Comm. c. Danimarca (“vini d’uva e di frutta”, p. 43)</w:t>
      </w:r>
    </w:p>
    <w:p w14:paraId="4A5E1A0D" w14:textId="77777777" w:rsidR="003A1A5D" w:rsidRDefault="003A1A5D" w:rsidP="003A1A5D">
      <w:pPr>
        <w:pStyle w:val="Testo2"/>
        <w:ind w:left="284" w:firstLine="0"/>
      </w:pPr>
      <w:r>
        <w:t>2.9</w:t>
      </w:r>
      <w:r>
        <w:tab/>
        <w:t>Sentenza 12 luglio 1983, causa 170/78, Comm. c. Regno Unito (“vino e birra”, p. 53)</w:t>
      </w:r>
    </w:p>
    <w:p w14:paraId="171A3BB8" w14:textId="77777777" w:rsidR="003A1A5D" w:rsidRDefault="003A1A5D" w:rsidP="003A1A5D">
      <w:pPr>
        <w:pStyle w:val="Testo2"/>
        <w:ind w:left="284" w:hanging="284"/>
      </w:pPr>
      <w:r>
        <w:t>D.</w:t>
      </w:r>
      <w:r>
        <w:tab/>
        <w:t xml:space="preserve">Il divieto di restrizioni quantitative e di misure di effetto equivalente: le misure distintamente applicabili </w:t>
      </w:r>
    </w:p>
    <w:p w14:paraId="6471B0E6" w14:textId="77777777" w:rsidR="003A1A5D" w:rsidRDefault="003A1A5D" w:rsidP="003A1A5D">
      <w:pPr>
        <w:pStyle w:val="Testo2"/>
      </w:pPr>
      <w:r>
        <w:t>3.1</w:t>
      </w:r>
      <w:r>
        <w:tab/>
        <w:t>Sentenza 11 luglio 1974, causa 8/74, Dassonville (p. 55)</w:t>
      </w:r>
    </w:p>
    <w:p w14:paraId="789C4417" w14:textId="77777777" w:rsidR="003A1A5D" w:rsidRDefault="003A1A5D" w:rsidP="003A1A5D">
      <w:pPr>
        <w:pStyle w:val="Testo2"/>
      </w:pPr>
      <w:r>
        <w:t>3.4</w:t>
      </w:r>
      <w:r>
        <w:tab/>
        <w:t>Sentenza 9 dicembre 1981, causa 193/80, Comm. c. Italia ("Aceto") (p. 57)</w:t>
      </w:r>
    </w:p>
    <w:p w14:paraId="1DED0CB6" w14:textId="77777777" w:rsidR="003A1A5D" w:rsidRDefault="003A1A5D" w:rsidP="003A1A5D">
      <w:pPr>
        <w:pStyle w:val="Testo2"/>
        <w:ind w:firstLine="0"/>
      </w:pPr>
      <w:r>
        <w:t>E.</w:t>
      </w:r>
      <w:r>
        <w:tab/>
        <w:t xml:space="preserve">Segue: le misure indistintamente applicabili </w:t>
      </w:r>
    </w:p>
    <w:p w14:paraId="2A0D5A64" w14:textId="77777777" w:rsidR="003A1A5D" w:rsidRDefault="003A1A5D" w:rsidP="003A1A5D">
      <w:pPr>
        <w:pStyle w:val="Testo2"/>
      </w:pPr>
      <w:r>
        <w:t>3.1</w:t>
      </w:r>
      <w:r>
        <w:tab/>
        <w:t>Sentenza 20 febbraio 1979, causa 120/78, "Cassis de Dijon" (p.71)</w:t>
      </w:r>
    </w:p>
    <w:p w14:paraId="5D51719D" w14:textId="77777777" w:rsidR="003A1A5D" w:rsidRDefault="003A1A5D" w:rsidP="003A1A5D">
      <w:pPr>
        <w:pStyle w:val="Testo2"/>
        <w:ind w:left="284" w:firstLine="0"/>
      </w:pPr>
      <w:r>
        <w:t>3.2</w:t>
      </w:r>
      <w:r>
        <w:tab/>
        <w:t>Sentenza 24 novembre 1993, cause riunite C-267/91 e C-268/91, Keck e Mithouard (p. 73)</w:t>
      </w:r>
    </w:p>
    <w:p w14:paraId="18807239" w14:textId="77777777" w:rsidR="003A1A5D" w:rsidRDefault="003A1A5D" w:rsidP="003A1A5D">
      <w:pPr>
        <w:pStyle w:val="Testo2"/>
      </w:pPr>
      <w:r>
        <w:t>3.4  Sentenza 10 febbraio 2009, causa C-110/05, Commissione c. Italia (rimorchi, p.78)</w:t>
      </w:r>
    </w:p>
    <w:p w14:paraId="12AAB48D" w14:textId="77777777" w:rsidR="003A1A5D" w:rsidRDefault="003A1A5D" w:rsidP="003A1A5D">
      <w:pPr>
        <w:pStyle w:val="Testo2"/>
        <w:ind w:firstLine="0"/>
      </w:pPr>
      <w:r>
        <w:t>F.</w:t>
      </w:r>
      <w:r>
        <w:tab/>
        <w:t xml:space="preserve">Margini di autonomia normativa degli stati membri nella tutela di interessi generali </w:t>
      </w:r>
    </w:p>
    <w:p w14:paraId="39DD2F68" w14:textId="77777777" w:rsidR="003A1A5D" w:rsidRDefault="003A1A5D" w:rsidP="003A1A5D">
      <w:pPr>
        <w:pStyle w:val="Testo2"/>
      </w:pPr>
      <w:r>
        <w:t>3.1</w:t>
      </w:r>
      <w:r>
        <w:tab/>
        <w:t>Sentenza 14 luglio 1988, causa 90/86, Zoni (p. 101)</w:t>
      </w:r>
    </w:p>
    <w:p w14:paraId="75708CBC" w14:textId="77777777" w:rsidR="003A1A5D" w:rsidRDefault="003A1A5D" w:rsidP="003A1A5D">
      <w:pPr>
        <w:pStyle w:val="Testo2"/>
      </w:pPr>
      <w:r>
        <w:lastRenderedPageBreak/>
        <w:t>3.4</w:t>
      </w:r>
      <w:r>
        <w:tab/>
        <w:t>Sentenza 3 dicembre 1998, causa C-67/97, Bluhme (p. 106)</w:t>
      </w:r>
    </w:p>
    <w:p w14:paraId="79D3EDF9" w14:textId="77777777" w:rsidR="003A1A5D" w:rsidRDefault="003A1A5D" w:rsidP="003A1A5D">
      <w:pPr>
        <w:pStyle w:val="Testo2"/>
      </w:pPr>
    </w:p>
    <w:p w14:paraId="525D5607" w14:textId="77777777" w:rsidR="003A1A5D" w:rsidRPr="004F5EBF" w:rsidRDefault="003A1A5D" w:rsidP="003A1A5D">
      <w:pPr>
        <w:pStyle w:val="Testo2"/>
        <w:ind w:firstLine="0"/>
        <w:rPr>
          <w:u w:val="single"/>
        </w:rPr>
      </w:pPr>
      <w:r w:rsidRPr="004F5EBF">
        <w:rPr>
          <w:u w:val="single"/>
        </w:rPr>
        <w:t xml:space="preserve">Capitolo 2: La cittadinanza europea </w:t>
      </w:r>
    </w:p>
    <w:p w14:paraId="61BA2C06" w14:textId="77777777" w:rsidR="003A1A5D" w:rsidRDefault="003A1A5D" w:rsidP="003A1A5D">
      <w:pPr>
        <w:pStyle w:val="Testo2"/>
        <w:ind w:firstLine="0"/>
      </w:pPr>
      <w:r>
        <w:t>A.</w:t>
      </w:r>
      <w:r>
        <w:tab/>
        <w:t xml:space="preserve">Cittadinanza europea e cittadinanza nazionale </w:t>
      </w:r>
    </w:p>
    <w:p w14:paraId="3E37C815" w14:textId="77777777" w:rsidR="003A1A5D" w:rsidRDefault="003A1A5D" w:rsidP="003A1A5D">
      <w:pPr>
        <w:pStyle w:val="Testo2"/>
      </w:pPr>
      <w:r>
        <w:t>3.3</w:t>
      </w:r>
      <w:r>
        <w:tab/>
        <w:t>Sentenza 2 ottobre 2008, causa C-148/02, Garcia Avello (p. 126)</w:t>
      </w:r>
    </w:p>
    <w:p w14:paraId="7D03A8AA" w14:textId="77777777" w:rsidR="003A1A5D" w:rsidRDefault="003A1A5D" w:rsidP="003A1A5D">
      <w:pPr>
        <w:pStyle w:val="Testo2"/>
      </w:pPr>
      <w:r>
        <w:t>3.4</w:t>
      </w:r>
      <w:r>
        <w:tab/>
        <w:t>Sentenza 2 marzo 2010, causa C-135/08, Rottmann (p. 127)</w:t>
      </w:r>
    </w:p>
    <w:p w14:paraId="106A7633" w14:textId="77777777" w:rsidR="003A1A5D" w:rsidRDefault="003A1A5D" w:rsidP="003A1A5D">
      <w:pPr>
        <w:pStyle w:val="Testo2"/>
        <w:ind w:firstLine="0"/>
      </w:pPr>
      <w:r>
        <w:t>B.</w:t>
      </w:r>
      <w:r>
        <w:tab/>
        <w:t xml:space="preserve">I diritti civili discendenti dalla cittadinanza europea </w:t>
      </w:r>
    </w:p>
    <w:p w14:paraId="5F45407E" w14:textId="77777777" w:rsidR="003A1A5D" w:rsidRDefault="003A1A5D" w:rsidP="003A1A5D">
      <w:pPr>
        <w:pStyle w:val="Testo2"/>
      </w:pPr>
      <w:r>
        <w:t>3.3</w:t>
      </w:r>
      <w:r>
        <w:tab/>
        <w:t>Sentenza 19 ottobre 2004, causa C-200/02, Chen (p. 149)</w:t>
      </w:r>
    </w:p>
    <w:p w14:paraId="7EC803ED" w14:textId="77777777" w:rsidR="003A1A5D" w:rsidRDefault="003A1A5D" w:rsidP="003A1A5D">
      <w:pPr>
        <w:pStyle w:val="Testo2"/>
      </w:pPr>
      <w:r>
        <w:t>3.6</w:t>
      </w:r>
      <w:r>
        <w:tab/>
        <w:t>Sentenza 5 giugno 2018, causa C-673/16, Coman (p. 153)</w:t>
      </w:r>
    </w:p>
    <w:p w14:paraId="5A4B995A" w14:textId="77777777" w:rsidR="003A1A5D" w:rsidRPr="000F7C2A" w:rsidRDefault="003A1A5D" w:rsidP="003A1A5D">
      <w:pPr>
        <w:pStyle w:val="Testo2"/>
        <w:ind w:firstLine="0"/>
        <w:rPr>
          <w:u w:val="single"/>
        </w:rPr>
      </w:pPr>
      <w:r w:rsidRPr="000F7C2A">
        <w:rPr>
          <w:u w:val="single"/>
        </w:rPr>
        <w:t xml:space="preserve">Capitolo 3: La libera circolazione dei lavoratori </w:t>
      </w:r>
    </w:p>
    <w:p w14:paraId="2146EE16" w14:textId="77777777" w:rsidR="003A1A5D" w:rsidRDefault="003A1A5D" w:rsidP="003A1A5D">
      <w:pPr>
        <w:pStyle w:val="Testo2"/>
        <w:ind w:left="284" w:hanging="284"/>
      </w:pPr>
      <w:r>
        <w:t>A.</w:t>
      </w:r>
      <w:r>
        <w:tab/>
        <w:t>Caratteri generali e ambito di applicazione delle norme in materia di libera circolazione dei lavoratori</w:t>
      </w:r>
    </w:p>
    <w:p w14:paraId="3928740C" w14:textId="77777777" w:rsidR="003A1A5D" w:rsidRDefault="003A1A5D" w:rsidP="003A1A5D">
      <w:pPr>
        <w:pStyle w:val="Testo2"/>
      </w:pPr>
      <w:r>
        <w:t>3.2</w:t>
      </w:r>
      <w:r>
        <w:tab/>
        <w:t>Sentenza 3 luglio 1986, causa 66/85, Lawrie-Blum (p. 183)</w:t>
      </w:r>
    </w:p>
    <w:p w14:paraId="5FF8B0B9" w14:textId="77777777" w:rsidR="003A1A5D" w:rsidRDefault="003A1A5D" w:rsidP="003A1A5D">
      <w:pPr>
        <w:pStyle w:val="Testo2"/>
      </w:pPr>
      <w:r>
        <w:t>3.4</w:t>
      </w:r>
      <w:r>
        <w:tab/>
        <w:t>Sentenza 26 febbraio 1991, causa C-292/89, Antonissen (p. 187)</w:t>
      </w:r>
    </w:p>
    <w:p w14:paraId="62A0842B" w14:textId="77777777" w:rsidR="003A1A5D" w:rsidRDefault="003A1A5D" w:rsidP="003A1A5D">
      <w:pPr>
        <w:pStyle w:val="Testo2"/>
        <w:ind w:firstLine="0"/>
      </w:pPr>
      <w:r>
        <w:t>B. Le condizioni di accesso e di esercizio dell’impiego</w:t>
      </w:r>
    </w:p>
    <w:p w14:paraId="42FB5317" w14:textId="77777777" w:rsidR="003A1A5D" w:rsidRDefault="003A1A5D" w:rsidP="003A1A5D">
      <w:pPr>
        <w:pStyle w:val="Testo2"/>
      </w:pPr>
      <w:r>
        <w:t>3.4</w:t>
      </w:r>
      <w:r>
        <w:tab/>
        <w:t>S</w:t>
      </w:r>
      <w:r w:rsidRPr="00E8304E">
        <w:t>entenza CG 6 giugno 2000, causa C-281/98, Angonese</w:t>
      </w:r>
      <w:r>
        <w:t xml:space="preserve"> (p. 206)</w:t>
      </w:r>
    </w:p>
    <w:p w14:paraId="3EAF81A8" w14:textId="77777777" w:rsidR="003A1A5D" w:rsidRPr="00E8304E" w:rsidRDefault="003A1A5D" w:rsidP="003A1A5D">
      <w:pPr>
        <w:pStyle w:val="Testo2"/>
        <w:ind w:firstLine="0"/>
        <w:rPr>
          <w:u w:val="single"/>
        </w:rPr>
      </w:pPr>
      <w:r w:rsidRPr="00E8304E">
        <w:rPr>
          <w:u w:val="single"/>
        </w:rPr>
        <w:t xml:space="preserve">Capitolo 4: La libertà di stabilimento </w:t>
      </w:r>
    </w:p>
    <w:p w14:paraId="6E0DDDE0" w14:textId="77777777" w:rsidR="003A1A5D" w:rsidRDefault="003A1A5D" w:rsidP="003A1A5D">
      <w:pPr>
        <w:pStyle w:val="Testo2"/>
        <w:ind w:firstLine="0"/>
      </w:pPr>
      <w:r>
        <w:t>A.</w:t>
      </w:r>
      <w:r>
        <w:tab/>
        <w:t xml:space="preserve">L’ambito applicativo della libertà di stabilimento </w:t>
      </w:r>
    </w:p>
    <w:p w14:paraId="2505BE08" w14:textId="77777777" w:rsidR="003A1A5D" w:rsidRDefault="003A1A5D" w:rsidP="003A1A5D">
      <w:pPr>
        <w:pStyle w:val="Testo2"/>
      </w:pPr>
      <w:r>
        <w:t>3.1</w:t>
      </w:r>
      <w:r>
        <w:tab/>
        <w:t>Sentenza 30 novembre 1995, causa C-55/94, Gebhard (p. 224)</w:t>
      </w:r>
    </w:p>
    <w:p w14:paraId="685802DC" w14:textId="77777777" w:rsidR="003A1A5D" w:rsidRDefault="003A1A5D" w:rsidP="003A1A5D">
      <w:pPr>
        <w:pStyle w:val="Testo2"/>
      </w:pPr>
      <w:r>
        <w:t>3.3</w:t>
      </w:r>
      <w:r>
        <w:tab/>
        <w:t>Sentenza 27 settembre 1988, causa 81/87, Daily Mail (p. 226)</w:t>
      </w:r>
    </w:p>
    <w:p w14:paraId="1372967B" w14:textId="77777777" w:rsidR="003A1A5D" w:rsidRDefault="003A1A5D" w:rsidP="003A1A5D">
      <w:pPr>
        <w:pStyle w:val="Testo2"/>
        <w:ind w:firstLine="0"/>
      </w:pPr>
      <w:r>
        <w:t>C.</w:t>
      </w:r>
      <w:r>
        <w:tab/>
        <w:t xml:space="preserve">Le deroghe alla libertà di stabilimento </w:t>
      </w:r>
    </w:p>
    <w:p w14:paraId="2E039705" w14:textId="77777777" w:rsidR="003A1A5D" w:rsidRDefault="003A1A5D" w:rsidP="003A1A5D">
      <w:pPr>
        <w:pStyle w:val="Testo2"/>
      </w:pPr>
      <w:r w:rsidRPr="00D97277">
        <w:t>3.5. Sentenza CG 6 novembre 2003, causa C-243/01, Gambelli</w:t>
      </w:r>
      <w:r>
        <w:t xml:space="preserve"> (p. 247)</w:t>
      </w:r>
    </w:p>
    <w:p w14:paraId="5AC56658" w14:textId="77777777" w:rsidR="003A1A5D" w:rsidRPr="001F2B09" w:rsidRDefault="003A1A5D" w:rsidP="003A1A5D">
      <w:pPr>
        <w:pStyle w:val="Testo2"/>
        <w:spacing w:line="240" w:lineRule="auto"/>
        <w:ind w:firstLine="0"/>
      </w:pPr>
      <w:r w:rsidRPr="001F2B09">
        <w:t>D.</w:t>
      </w:r>
      <w:r w:rsidRPr="001F2B09">
        <w:tab/>
        <w:t>L’integrazione positiva in materia di stabilimento</w:t>
      </w:r>
    </w:p>
    <w:p w14:paraId="61F41B67" w14:textId="77777777" w:rsidR="003A1A5D" w:rsidRPr="0008795F" w:rsidRDefault="003A1A5D" w:rsidP="003A1A5D">
      <w:pPr>
        <w:pStyle w:val="Testo2"/>
        <w:spacing w:line="240" w:lineRule="auto"/>
      </w:pPr>
      <w:r w:rsidRPr="0008795F">
        <w:t xml:space="preserve">4.4. </w:t>
      </w:r>
      <w:r w:rsidRPr="0008795F">
        <w:tab/>
        <w:t>Sentenza CG 17 luglio 2014, cause riunite C-58/13 e C-59/13, Torresi (p. 269)</w:t>
      </w:r>
    </w:p>
    <w:p w14:paraId="6CCC2BA9" w14:textId="77777777" w:rsidR="003A1A5D" w:rsidRPr="00D97277" w:rsidRDefault="003A1A5D" w:rsidP="003A1A5D">
      <w:pPr>
        <w:pStyle w:val="Testo2"/>
        <w:ind w:firstLine="0"/>
        <w:rPr>
          <w:u w:val="single"/>
        </w:rPr>
      </w:pPr>
      <w:r w:rsidRPr="00D97277">
        <w:rPr>
          <w:u w:val="single"/>
        </w:rPr>
        <w:t>Capitolo 5: La libera prestazione dei servizi</w:t>
      </w:r>
    </w:p>
    <w:p w14:paraId="6FB3EC27" w14:textId="77777777" w:rsidR="003A1A5D" w:rsidRDefault="003A1A5D" w:rsidP="003A1A5D">
      <w:pPr>
        <w:pStyle w:val="Testo2"/>
        <w:ind w:firstLine="0"/>
      </w:pPr>
      <w:r>
        <w:t>A.</w:t>
      </w:r>
      <w:r>
        <w:tab/>
        <w:t xml:space="preserve">L’ambito applicativo della libera prestazione dei servizi </w:t>
      </w:r>
    </w:p>
    <w:p w14:paraId="64777473" w14:textId="77777777" w:rsidR="003A1A5D" w:rsidRDefault="003A1A5D" w:rsidP="003A1A5D">
      <w:pPr>
        <w:pStyle w:val="Testo2"/>
      </w:pPr>
      <w:r>
        <w:t>3.4</w:t>
      </w:r>
      <w:r>
        <w:tab/>
        <w:t>Sentenza 3 dicembre 1974, causa 33/74, van Binsbergen (p. 281)</w:t>
      </w:r>
    </w:p>
    <w:p w14:paraId="55BB495A" w14:textId="77777777" w:rsidR="003A1A5D" w:rsidRDefault="003A1A5D" w:rsidP="003A1A5D">
      <w:pPr>
        <w:pStyle w:val="Testo2"/>
      </w:pPr>
      <w:r>
        <w:t>3.5</w:t>
      </w:r>
      <w:r>
        <w:tab/>
      </w:r>
      <w:r w:rsidRPr="001D1C90">
        <w:t>Sentenza CG 11 dicembre 2003, causa C-215/01, Schnitzer</w:t>
      </w:r>
      <w:r>
        <w:t xml:space="preserve"> (p. 282)</w:t>
      </w:r>
    </w:p>
    <w:p w14:paraId="0CF9D8EA" w14:textId="77777777" w:rsidR="003A1A5D" w:rsidRPr="001F2B09" w:rsidRDefault="003A1A5D" w:rsidP="003A1A5D">
      <w:pPr>
        <w:pStyle w:val="Testo2"/>
        <w:spacing w:line="240" w:lineRule="auto"/>
        <w:ind w:left="709" w:hanging="709"/>
      </w:pPr>
      <w:r w:rsidRPr="001F2B09">
        <w:t xml:space="preserve">B. </w:t>
      </w:r>
      <w:r w:rsidRPr="001F2B09">
        <w:tab/>
        <w:t>L’integrazione negativa in materia di servizi</w:t>
      </w:r>
    </w:p>
    <w:p w14:paraId="68034CF7" w14:textId="77777777" w:rsidR="003A1A5D" w:rsidRPr="0008795F" w:rsidRDefault="003A1A5D" w:rsidP="003A1A5D">
      <w:pPr>
        <w:pStyle w:val="Testo2"/>
        <w:tabs>
          <w:tab w:val="left" w:pos="426"/>
        </w:tabs>
        <w:spacing w:line="240" w:lineRule="auto"/>
        <w:ind w:left="426" w:hanging="142"/>
      </w:pPr>
      <w:r w:rsidRPr="0008795F">
        <w:t xml:space="preserve">2.3. </w:t>
      </w:r>
      <w:r w:rsidRPr="0008795F">
        <w:tab/>
        <w:t>Sentenza CG 10 maggio 1995, causa C-384/93, Alpine Investments (p. 290)</w:t>
      </w:r>
    </w:p>
    <w:p w14:paraId="61AC9644" w14:textId="77777777" w:rsidR="003A1A5D" w:rsidRPr="001F2B09" w:rsidRDefault="003A1A5D" w:rsidP="003A1A5D">
      <w:pPr>
        <w:pStyle w:val="Testo2"/>
        <w:spacing w:line="240" w:lineRule="auto"/>
        <w:ind w:left="709" w:hanging="709"/>
      </w:pPr>
      <w:r w:rsidRPr="001F2B09">
        <w:t xml:space="preserve">C. </w:t>
      </w:r>
      <w:r w:rsidRPr="001F2B09">
        <w:tab/>
        <w:t>Le deroghe alla libera prestazione dei servizi</w:t>
      </w:r>
    </w:p>
    <w:p w14:paraId="350D962E" w14:textId="77777777" w:rsidR="003A1A5D" w:rsidRPr="0008795F" w:rsidRDefault="003A1A5D" w:rsidP="003A1A5D">
      <w:pPr>
        <w:pStyle w:val="Testo2"/>
        <w:spacing w:line="240" w:lineRule="auto"/>
        <w:ind w:left="709" w:hanging="426"/>
      </w:pPr>
      <w:r w:rsidRPr="00E2519A">
        <w:t>2.1</w:t>
      </w:r>
      <w:r w:rsidRPr="00E2519A">
        <w:tab/>
        <w:t>Sentenza 14 ottobre 2004, causa C- 36/02, Omega (p. 297)</w:t>
      </w:r>
    </w:p>
    <w:p w14:paraId="654736A1" w14:textId="77777777" w:rsidR="003A1A5D" w:rsidRPr="00E51FEC" w:rsidRDefault="003A1A5D" w:rsidP="003A1A5D">
      <w:pPr>
        <w:pStyle w:val="Testo2"/>
        <w:spacing w:line="240" w:lineRule="auto"/>
        <w:ind w:left="709" w:hanging="425"/>
      </w:pPr>
      <w:r w:rsidRPr="00E51FEC">
        <w:t xml:space="preserve">2.7. </w:t>
      </w:r>
      <w:r w:rsidRPr="00E51FEC">
        <w:tab/>
        <w:t>Sentenza CG 5 ottobre 1994, causa C-23/93, TV 10 (p. 307)</w:t>
      </w:r>
    </w:p>
    <w:p w14:paraId="7807A91C" w14:textId="77777777" w:rsidR="003A1A5D" w:rsidRPr="001F2B09" w:rsidRDefault="003A1A5D" w:rsidP="003A1A5D">
      <w:pPr>
        <w:pStyle w:val="Testo2"/>
        <w:spacing w:line="240" w:lineRule="auto"/>
        <w:ind w:left="426" w:hanging="426"/>
        <w:rPr>
          <w:u w:val="single"/>
        </w:rPr>
      </w:pPr>
      <w:r w:rsidRPr="001F2B09">
        <w:rPr>
          <w:u w:val="single"/>
        </w:rPr>
        <w:t>Capitolo 6: La libera circolazione dei capitali e dei pagamenti</w:t>
      </w:r>
    </w:p>
    <w:p w14:paraId="58EF8338" w14:textId="77777777" w:rsidR="003A1A5D" w:rsidRPr="001F2B09" w:rsidRDefault="003A1A5D" w:rsidP="003A1A5D">
      <w:pPr>
        <w:pStyle w:val="Testo2"/>
        <w:spacing w:line="240" w:lineRule="auto"/>
        <w:ind w:left="709" w:hanging="709"/>
        <w:rPr>
          <w:color w:val="000000" w:themeColor="text1"/>
        </w:rPr>
      </w:pPr>
      <w:r w:rsidRPr="001F2B09">
        <w:rPr>
          <w:color w:val="000000" w:themeColor="text1"/>
        </w:rPr>
        <w:t xml:space="preserve">A. </w:t>
      </w:r>
      <w:r w:rsidRPr="001F2B09">
        <w:rPr>
          <w:color w:val="000000" w:themeColor="text1"/>
        </w:rPr>
        <w:tab/>
        <w:t>L’ambito applicativo della libera circolazione dei capitali e dei pagamenti</w:t>
      </w:r>
    </w:p>
    <w:p w14:paraId="7789D27B" w14:textId="77777777" w:rsidR="003A1A5D" w:rsidRPr="009715E6" w:rsidRDefault="003A1A5D" w:rsidP="003A1A5D">
      <w:pPr>
        <w:pStyle w:val="Testo2"/>
        <w:tabs>
          <w:tab w:val="left" w:pos="567"/>
        </w:tabs>
        <w:spacing w:line="240" w:lineRule="auto"/>
        <w:ind w:left="426" w:hanging="142"/>
        <w:rPr>
          <w:color w:val="000000" w:themeColor="text1"/>
        </w:rPr>
      </w:pPr>
      <w:r w:rsidRPr="009715E6">
        <w:rPr>
          <w:color w:val="000000" w:themeColor="text1"/>
        </w:rPr>
        <w:t xml:space="preserve">4.1. </w:t>
      </w:r>
      <w:r w:rsidRPr="009715E6">
        <w:rPr>
          <w:color w:val="000000" w:themeColor="text1"/>
        </w:rPr>
        <w:tab/>
        <w:t>Sentenza CG 31 gennaio 1984, cause riunite 286/82 e 26/83, Luisi Carbone (p. 325)</w:t>
      </w:r>
    </w:p>
    <w:p w14:paraId="7D5CC266" w14:textId="77777777" w:rsidR="003A1A5D" w:rsidRPr="009715E6" w:rsidRDefault="003A1A5D" w:rsidP="003A1A5D">
      <w:pPr>
        <w:pStyle w:val="Testo2"/>
        <w:spacing w:line="240" w:lineRule="auto"/>
        <w:ind w:left="709" w:hanging="709"/>
        <w:rPr>
          <w:color w:val="000000" w:themeColor="text1"/>
          <w:u w:val="single"/>
        </w:rPr>
      </w:pPr>
      <w:r w:rsidRPr="009715E6">
        <w:rPr>
          <w:color w:val="000000" w:themeColor="text1"/>
        </w:rPr>
        <w:t xml:space="preserve">B. </w:t>
      </w:r>
      <w:r w:rsidRPr="009715E6">
        <w:rPr>
          <w:color w:val="000000" w:themeColor="text1"/>
        </w:rPr>
        <w:tab/>
      </w:r>
      <w:r w:rsidRPr="001F2B09">
        <w:rPr>
          <w:color w:val="000000" w:themeColor="text1"/>
        </w:rPr>
        <w:t>L’integrazione negativa e positiva in materia di capitali e di pagamenti</w:t>
      </w:r>
      <w:r w:rsidRPr="009715E6">
        <w:rPr>
          <w:color w:val="000000" w:themeColor="text1"/>
          <w:u w:val="single"/>
        </w:rPr>
        <w:t xml:space="preserve"> </w:t>
      </w:r>
    </w:p>
    <w:p w14:paraId="6A9ABDDC" w14:textId="77777777" w:rsidR="003A1A5D" w:rsidRPr="009715E6" w:rsidRDefault="003A1A5D" w:rsidP="003A1A5D">
      <w:pPr>
        <w:pStyle w:val="Testo2"/>
        <w:tabs>
          <w:tab w:val="left" w:pos="284"/>
          <w:tab w:val="left" w:pos="426"/>
        </w:tabs>
        <w:spacing w:line="240" w:lineRule="auto"/>
        <w:ind w:left="426" w:hanging="142"/>
        <w:rPr>
          <w:color w:val="000000" w:themeColor="text1"/>
        </w:rPr>
      </w:pPr>
      <w:r w:rsidRPr="009715E6">
        <w:rPr>
          <w:color w:val="000000" w:themeColor="text1"/>
        </w:rPr>
        <w:t>2.1.</w:t>
      </w:r>
      <w:r w:rsidRPr="009715E6">
        <w:rPr>
          <w:color w:val="000000" w:themeColor="text1"/>
        </w:rPr>
        <w:tab/>
        <w:t>Sentenza CG 4 giugno 2002, causa C-367/98, Commissione c. Portogallo (golden shares) (p. 330)</w:t>
      </w:r>
    </w:p>
    <w:p w14:paraId="4D729609" w14:textId="77777777" w:rsidR="003A1A5D" w:rsidRPr="00D64516" w:rsidRDefault="003A1A5D" w:rsidP="003A1A5D">
      <w:pPr>
        <w:spacing w:before="240" w:after="120"/>
        <w:rPr>
          <w:b/>
          <w:i/>
          <w:sz w:val="18"/>
        </w:rPr>
      </w:pPr>
      <w:bookmarkStart w:id="5" w:name="_Hlk76557228"/>
    </w:p>
    <w:p w14:paraId="3FF2AD70" w14:textId="77777777" w:rsidR="003A1A5D" w:rsidRPr="00D24847" w:rsidRDefault="003A1A5D" w:rsidP="003A1A5D">
      <w:pPr>
        <w:spacing w:before="240" w:after="120"/>
        <w:rPr>
          <w:b/>
          <w:i/>
          <w:sz w:val="18"/>
          <w:lang w:val="en-GB"/>
        </w:rPr>
      </w:pPr>
      <w:r w:rsidRPr="00D24847">
        <w:rPr>
          <w:b/>
          <w:i/>
          <w:sz w:val="18"/>
          <w:lang w:val="en-GB"/>
        </w:rPr>
        <w:t>NOTES AND PREREQUISITES</w:t>
      </w:r>
      <w:bookmarkEnd w:id="5"/>
    </w:p>
    <w:p w14:paraId="5BF4772E" w14:textId="77777777" w:rsidR="003A1A5D" w:rsidRPr="00D24847" w:rsidRDefault="003A1A5D" w:rsidP="003A1A5D">
      <w:pPr>
        <w:pStyle w:val="Testo2"/>
        <w:rPr>
          <w:sz w:val="16"/>
          <w:lang w:val="en-GB"/>
        </w:rPr>
      </w:pPr>
      <w:r>
        <w:rPr>
          <w:rFonts w:eastAsia="MS Mincho"/>
          <w:bCs/>
          <w:iCs/>
          <w:lang w:val="en-GB"/>
        </w:rPr>
        <w:lastRenderedPageBreak/>
        <w:t xml:space="preserve">Prerequisites for </w:t>
      </w:r>
      <w:r w:rsidRPr="00D7340D">
        <w:rPr>
          <w:rFonts w:eastAsia="MS Mincho"/>
          <w:bCs/>
          <w:iCs/>
          <w:lang w:val="en-GB"/>
        </w:rPr>
        <w:t>attend</w:t>
      </w:r>
      <w:r>
        <w:rPr>
          <w:rFonts w:eastAsia="MS Mincho"/>
          <w:bCs/>
          <w:iCs/>
          <w:lang w:val="en-GB"/>
        </w:rPr>
        <w:t>ing</w:t>
      </w:r>
      <w:r w:rsidRPr="00D7340D">
        <w:rPr>
          <w:rFonts w:eastAsia="MS Mincho"/>
          <w:bCs/>
          <w:iCs/>
          <w:lang w:val="en-GB"/>
        </w:rPr>
        <w:t xml:space="preserve"> the course and tak</w:t>
      </w:r>
      <w:r>
        <w:rPr>
          <w:rFonts w:eastAsia="MS Mincho"/>
          <w:bCs/>
          <w:iCs/>
          <w:lang w:val="en-GB"/>
        </w:rPr>
        <w:t>ing</w:t>
      </w:r>
      <w:r w:rsidRPr="00D7340D">
        <w:rPr>
          <w:rFonts w:eastAsia="MS Mincho"/>
          <w:bCs/>
          <w:iCs/>
          <w:lang w:val="en-GB"/>
        </w:rPr>
        <w:t xml:space="preserve"> the exam</w:t>
      </w:r>
      <w:r>
        <w:rPr>
          <w:rFonts w:eastAsia="MS Mincho"/>
          <w:bCs/>
          <w:iCs/>
          <w:lang w:val="en-GB"/>
        </w:rPr>
        <w:t xml:space="preserve"> are</w:t>
      </w:r>
      <w:r w:rsidRPr="00D7340D">
        <w:rPr>
          <w:rFonts w:eastAsia="MS Mincho"/>
          <w:bCs/>
          <w:iCs/>
          <w:lang w:val="en-GB"/>
        </w:rPr>
        <w:t xml:space="preserve"> a good knowledge of the fundamental principles and sources of the Italian legal system</w:t>
      </w:r>
      <w:r>
        <w:rPr>
          <w:rFonts w:eastAsia="MS Mincho"/>
          <w:bCs/>
          <w:iCs/>
          <w:lang w:val="en-GB"/>
        </w:rPr>
        <w:t xml:space="preserve"> </w:t>
      </w:r>
      <w:r w:rsidRPr="00D7340D">
        <w:rPr>
          <w:rFonts w:eastAsia="MS Mincho"/>
          <w:bCs/>
          <w:iCs/>
          <w:lang w:val="en-GB"/>
        </w:rPr>
        <w:t xml:space="preserve">acquired </w:t>
      </w:r>
      <w:r>
        <w:rPr>
          <w:rFonts w:eastAsia="MS Mincho"/>
          <w:bCs/>
          <w:iCs/>
          <w:lang w:val="en-GB"/>
        </w:rPr>
        <w:t>through</w:t>
      </w:r>
      <w:r w:rsidRPr="00D7340D">
        <w:rPr>
          <w:rFonts w:eastAsia="MS Mincho"/>
          <w:bCs/>
          <w:iCs/>
          <w:lang w:val="en-GB"/>
        </w:rPr>
        <w:t xml:space="preserve"> previous study of Constitutional Law</w:t>
      </w:r>
      <w:r w:rsidRPr="00D24847">
        <w:rPr>
          <w:rFonts w:eastAsia="MS Mincho"/>
          <w:bCs/>
          <w:iCs/>
          <w:lang w:val="en-GB"/>
        </w:rPr>
        <w:t>.</w:t>
      </w:r>
    </w:p>
    <w:p w14:paraId="4C8D0337" w14:textId="77777777" w:rsidR="003A1A5D" w:rsidRPr="00D24847" w:rsidRDefault="003A1A5D" w:rsidP="003A1A5D">
      <w:pPr>
        <w:pStyle w:val="Testo2"/>
        <w:spacing w:before="120"/>
        <w:ind w:firstLine="0"/>
        <w:rPr>
          <w:i/>
          <w:lang w:val="en-GB"/>
        </w:rPr>
      </w:pPr>
    </w:p>
    <w:p w14:paraId="58C13736" w14:textId="77777777" w:rsidR="003A1A5D" w:rsidRPr="00D24847" w:rsidRDefault="003A1A5D" w:rsidP="003A1A5D">
      <w:pPr>
        <w:pStyle w:val="Testo2"/>
        <w:rPr>
          <w:szCs w:val="18"/>
          <w:lang w:val="en-GB"/>
        </w:rPr>
      </w:pPr>
      <w:bookmarkStart w:id="6" w:name="_Hlk76559061"/>
      <w:bookmarkStart w:id="7" w:name="_Hlk76565747"/>
      <w:r w:rsidRPr="00D24847">
        <w:rPr>
          <w:lang w:val="en-GB"/>
        </w:rPr>
        <w:t xml:space="preserve">Information on office hours available on the </w:t>
      </w:r>
      <w:r w:rsidRPr="00EF07E4">
        <w:rPr>
          <w:lang w:val="en-GB"/>
        </w:rPr>
        <w:t xml:space="preserve">teacher's </w:t>
      </w:r>
      <w:r w:rsidRPr="00D24847">
        <w:rPr>
          <w:lang w:val="en-GB"/>
        </w:rPr>
        <w:t xml:space="preserve">personal page at </w:t>
      </w:r>
      <w:hyperlink r:id="rId7" w:history="1">
        <w:r w:rsidRPr="00D24847">
          <w:rPr>
            <w:rStyle w:val="Collegamentoipertestuale"/>
            <w:lang w:val="en-GB"/>
          </w:rPr>
          <w:t>http://docenti.unicatt.it/</w:t>
        </w:r>
      </w:hyperlink>
      <w:bookmarkEnd w:id="6"/>
      <w:r w:rsidRPr="00D24847">
        <w:rPr>
          <w:lang w:val="en-GB"/>
        </w:rPr>
        <w:t>.</w:t>
      </w:r>
      <w:bookmarkEnd w:id="7"/>
    </w:p>
    <w:p w14:paraId="076FF17B" w14:textId="77777777" w:rsidR="003A1A5D" w:rsidRPr="00522027" w:rsidRDefault="003A1A5D" w:rsidP="003A1A5D">
      <w:pPr>
        <w:rPr>
          <w:szCs w:val="20"/>
          <w:lang w:val="en-GB"/>
        </w:rPr>
      </w:pPr>
    </w:p>
    <w:p w14:paraId="41F36EF9" w14:textId="77777777" w:rsidR="006C3575" w:rsidRPr="003A1A5D" w:rsidRDefault="006C3575">
      <w:pPr>
        <w:rPr>
          <w:szCs w:val="20"/>
          <w:lang w:val="en-GB"/>
        </w:rPr>
      </w:pPr>
    </w:p>
    <w:sectPr w:rsidR="006C3575" w:rsidRPr="003A1A5D" w:rsidSect="003A1A5D">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B6617"/>
    <w:multiLevelType w:val="hybridMultilevel"/>
    <w:tmpl w:val="3E40911C"/>
    <w:lvl w:ilvl="0" w:tplc="28CA3EE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7A963F3"/>
    <w:multiLevelType w:val="hybridMultilevel"/>
    <w:tmpl w:val="36640964"/>
    <w:lvl w:ilvl="0" w:tplc="28268B8C">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438713932">
    <w:abstractNumId w:val="0"/>
  </w:num>
  <w:num w:numId="2" w16cid:durableId="389764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A0"/>
    <w:rsid w:val="00036D78"/>
    <w:rsid w:val="000838D0"/>
    <w:rsid w:val="00096869"/>
    <w:rsid w:val="000B550E"/>
    <w:rsid w:val="000B78D0"/>
    <w:rsid w:val="00110558"/>
    <w:rsid w:val="00192D6C"/>
    <w:rsid w:val="001B1C19"/>
    <w:rsid w:val="001B541F"/>
    <w:rsid w:val="001C32F4"/>
    <w:rsid w:val="001C4191"/>
    <w:rsid w:val="001F2B09"/>
    <w:rsid w:val="002162A1"/>
    <w:rsid w:val="00233A2F"/>
    <w:rsid w:val="00254F64"/>
    <w:rsid w:val="00261535"/>
    <w:rsid w:val="00265631"/>
    <w:rsid w:val="002953CC"/>
    <w:rsid w:val="00296EB1"/>
    <w:rsid w:val="002B1C6C"/>
    <w:rsid w:val="002E3E99"/>
    <w:rsid w:val="002E763D"/>
    <w:rsid w:val="00306E84"/>
    <w:rsid w:val="0031046C"/>
    <w:rsid w:val="00323463"/>
    <w:rsid w:val="0033560E"/>
    <w:rsid w:val="00342EE6"/>
    <w:rsid w:val="00353805"/>
    <w:rsid w:val="003A1A5D"/>
    <w:rsid w:val="003D2F27"/>
    <w:rsid w:val="003D579D"/>
    <w:rsid w:val="004573E2"/>
    <w:rsid w:val="004644DA"/>
    <w:rsid w:val="00487414"/>
    <w:rsid w:val="004B6BF3"/>
    <w:rsid w:val="004F78A3"/>
    <w:rsid w:val="005326D1"/>
    <w:rsid w:val="0053679E"/>
    <w:rsid w:val="00551B14"/>
    <w:rsid w:val="00556137"/>
    <w:rsid w:val="00566A52"/>
    <w:rsid w:val="00587D7F"/>
    <w:rsid w:val="005918C0"/>
    <w:rsid w:val="00636B90"/>
    <w:rsid w:val="00636E3E"/>
    <w:rsid w:val="00655BC5"/>
    <w:rsid w:val="00684228"/>
    <w:rsid w:val="00685B73"/>
    <w:rsid w:val="00687C17"/>
    <w:rsid w:val="006A13ED"/>
    <w:rsid w:val="006C3575"/>
    <w:rsid w:val="006C5E35"/>
    <w:rsid w:val="006F25DF"/>
    <w:rsid w:val="00720BFD"/>
    <w:rsid w:val="00721015"/>
    <w:rsid w:val="007321BC"/>
    <w:rsid w:val="00735DE2"/>
    <w:rsid w:val="00753725"/>
    <w:rsid w:val="007801F0"/>
    <w:rsid w:val="00793A66"/>
    <w:rsid w:val="007A2A51"/>
    <w:rsid w:val="007A3598"/>
    <w:rsid w:val="007E26A0"/>
    <w:rsid w:val="00825E20"/>
    <w:rsid w:val="00826841"/>
    <w:rsid w:val="00850516"/>
    <w:rsid w:val="00884287"/>
    <w:rsid w:val="0089219E"/>
    <w:rsid w:val="008A4ACA"/>
    <w:rsid w:val="008E588A"/>
    <w:rsid w:val="00925B32"/>
    <w:rsid w:val="009734DD"/>
    <w:rsid w:val="00993B66"/>
    <w:rsid w:val="009B17F6"/>
    <w:rsid w:val="009C66A2"/>
    <w:rsid w:val="009C66BE"/>
    <w:rsid w:val="009D2F11"/>
    <w:rsid w:val="009E5FA6"/>
    <w:rsid w:val="009E61BE"/>
    <w:rsid w:val="00A15853"/>
    <w:rsid w:val="00A341DF"/>
    <w:rsid w:val="00A82F88"/>
    <w:rsid w:val="00A87866"/>
    <w:rsid w:val="00A97221"/>
    <w:rsid w:val="00AC33DC"/>
    <w:rsid w:val="00B00569"/>
    <w:rsid w:val="00B4075D"/>
    <w:rsid w:val="00B841CC"/>
    <w:rsid w:val="00BF6E89"/>
    <w:rsid w:val="00C37617"/>
    <w:rsid w:val="00C522A5"/>
    <w:rsid w:val="00C70980"/>
    <w:rsid w:val="00C928C0"/>
    <w:rsid w:val="00CD3ED4"/>
    <w:rsid w:val="00CD6DC0"/>
    <w:rsid w:val="00CF1252"/>
    <w:rsid w:val="00D02365"/>
    <w:rsid w:val="00D134F6"/>
    <w:rsid w:val="00D156AA"/>
    <w:rsid w:val="00D1719A"/>
    <w:rsid w:val="00D36BC3"/>
    <w:rsid w:val="00D44598"/>
    <w:rsid w:val="00D53458"/>
    <w:rsid w:val="00D7539A"/>
    <w:rsid w:val="00D9400A"/>
    <w:rsid w:val="00E00B33"/>
    <w:rsid w:val="00E04C41"/>
    <w:rsid w:val="00E165BE"/>
    <w:rsid w:val="00E567CD"/>
    <w:rsid w:val="00E63678"/>
    <w:rsid w:val="00E818F2"/>
    <w:rsid w:val="00E9048E"/>
    <w:rsid w:val="00E9759F"/>
    <w:rsid w:val="00EA5DA3"/>
    <w:rsid w:val="00ED12C9"/>
    <w:rsid w:val="00ED3AD1"/>
    <w:rsid w:val="00F0542A"/>
    <w:rsid w:val="00F12AC0"/>
    <w:rsid w:val="00F43B13"/>
    <w:rsid w:val="00FA2D4A"/>
    <w:rsid w:val="00FB479A"/>
    <w:rsid w:val="00FC3FE4"/>
    <w:rsid w:val="00FD09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F874"/>
  <w15:docId w15:val="{BA9DB318-627A-4F51-86DB-396FEA1B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62A1"/>
    <w:pPr>
      <w:spacing w:after="0" w:line="240" w:lineRule="exact"/>
      <w:jc w:val="both"/>
    </w:pPr>
    <w:rPr>
      <w:rFonts w:ascii="Times New Roman" w:eastAsia="MS Mincho" w:hAnsi="Times New Roman" w:cs="Times New Roman"/>
      <w:sz w:val="20"/>
      <w:szCs w:val="24"/>
      <w:lang w:eastAsia="it-IT"/>
    </w:rPr>
  </w:style>
  <w:style w:type="paragraph" w:styleId="Titolo1">
    <w:name w:val="heading 1"/>
    <w:next w:val="Titolo2"/>
    <w:link w:val="Titolo1Carattere"/>
    <w:qFormat/>
    <w:rsid w:val="002162A1"/>
    <w:pPr>
      <w:spacing w:before="480" w:after="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2162A1"/>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2162A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162A1"/>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2162A1"/>
    <w:rPr>
      <w:rFonts w:ascii="Times" w:eastAsia="Times New Roman" w:hAnsi="Times" w:cs="Times New Roman"/>
      <w:smallCaps/>
      <w:noProof/>
      <w:sz w:val="18"/>
      <w:szCs w:val="20"/>
      <w:lang w:eastAsia="it-IT"/>
    </w:rPr>
  </w:style>
  <w:style w:type="paragraph" w:customStyle="1" w:styleId="Testo1">
    <w:name w:val="Testo 1"/>
    <w:rsid w:val="002162A1"/>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uiPriority w:val="99"/>
    <w:rsid w:val="002162A1"/>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2162A1"/>
    <w:rPr>
      <w:rFonts w:asciiTheme="majorHAnsi" w:eastAsiaTheme="majorEastAsia" w:hAnsiTheme="majorHAnsi" w:cstheme="majorBidi"/>
      <w:color w:val="243F60" w:themeColor="accent1" w:themeShade="7F"/>
      <w:sz w:val="24"/>
      <w:szCs w:val="24"/>
      <w:lang w:eastAsia="it-IT"/>
    </w:rPr>
  </w:style>
  <w:style w:type="paragraph" w:styleId="Paragrafoelenco">
    <w:name w:val="List Paragraph"/>
    <w:basedOn w:val="Normale"/>
    <w:uiPriority w:val="34"/>
    <w:qFormat/>
    <w:rsid w:val="000838D0"/>
    <w:pPr>
      <w:ind w:left="720"/>
      <w:contextualSpacing/>
    </w:pPr>
  </w:style>
  <w:style w:type="character" w:styleId="Collegamentoipertestuale">
    <w:name w:val="Hyperlink"/>
    <w:basedOn w:val="Carpredefinitoparagrafo"/>
    <w:unhideWhenUsed/>
    <w:rsid w:val="00ED3AD1"/>
    <w:rPr>
      <w:color w:val="0000FF" w:themeColor="hyperlink"/>
      <w:u w:val="single"/>
    </w:rPr>
  </w:style>
  <w:style w:type="character" w:customStyle="1" w:styleId="Menzionenonrisolta1">
    <w:name w:val="Menzione non risolta1"/>
    <w:basedOn w:val="Carpredefinitoparagrafo"/>
    <w:uiPriority w:val="99"/>
    <w:semiHidden/>
    <w:unhideWhenUsed/>
    <w:rsid w:val="00ED3AD1"/>
    <w:rPr>
      <w:color w:val="808080"/>
      <w:shd w:val="clear" w:color="auto" w:fill="E6E6E6"/>
    </w:rPr>
  </w:style>
  <w:style w:type="character" w:styleId="Rimandocommento">
    <w:name w:val="annotation reference"/>
    <w:basedOn w:val="Carpredefinitoparagrafo"/>
    <w:uiPriority w:val="99"/>
    <w:semiHidden/>
    <w:unhideWhenUsed/>
    <w:rsid w:val="002E3E99"/>
    <w:rPr>
      <w:sz w:val="16"/>
      <w:szCs w:val="16"/>
    </w:rPr>
  </w:style>
  <w:style w:type="paragraph" w:styleId="Testocommento">
    <w:name w:val="annotation text"/>
    <w:basedOn w:val="Normale"/>
    <w:link w:val="TestocommentoCarattere"/>
    <w:uiPriority w:val="99"/>
    <w:semiHidden/>
    <w:unhideWhenUsed/>
    <w:rsid w:val="002E3E99"/>
    <w:pPr>
      <w:spacing w:line="240" w:lineRule="auto"/>
    </w:pPr>
    <w:rPr>
      <w:szCs w:val="20"/>
    </w:rPr>
  </w:style>
  <w:style w:type="character" w:customStyle="1" w:styleId="TestocommentoCarattere">
    <w:name w:val="Testo commento Carattere"/>
    <w:basedOn w:val="Carpredefinitoparagrafo"/>
    <w:link w:val="Testocommento"/>
    <w:uiPriority w:val="99"/>
    <w:semiHidden/>
    <w:rsid w:val="002E3E99"/>
    <w:rPr>
      <w:rFonts w:ascii="Times New Roman" w:eastAsia="MS Mincho"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E3E99"/>
    <w:rPr>
      <w:b/>
      <w:bCs/>
    </w:rPr>
  </w:style>
  <w:style w:type="character" w:customStyle="1" w:styleId="SoggettocommentoCarattere">
    <w:name w:val="Soggetto commento Carattere"/>
    <w:basedOn w:val="TestocommentoCarattere"/>
    <w:link w:val="Soggettocommento"/>
    <w:uiPriority w:val="99"/>
    <w:semiHidden/>
    <w:rsid w:val="002E3E99"/>
    <w:rPr>
      <w:rFonts w:ascii="Times New Roman" w:eastAsia="MS Mincho"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2E3E9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3E99"/>
    <w:rPr>
      <w:rFonts w:ascii="Segoe UI" w:eastAsia="MS Mincho" w:hAnsi="Segoe UI" w:cs="Segoe UI"/>
      <w:sz w:val="18"/>
      <w:szCs w:val="18"/>
      <w:lang w:eastAsia="it-IT"/>
    </w:rPr>
  </w:style>
  <w:style w:type="character" w:customStyle="1" w:styleId="Testo2Carattere">
    <w:name w:val="Testo 2 Carattere"/>
    <w:link w:val="Testo2"/>
    <w:uiPriority w:val="99"/>
    <w:locked/>
    <w:rsid w:val="00C928C0"/>
    <w:rPr>
      <w:rFonts w:ascii="Times" w:eastAsia="Times New Roman" w:hAnsi="Times" w:cs="Times New Roman"/>
      <w:noProof/>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84289">
      <w:bodyDiv w:val="1"/>
      <w:marLeft w:val="0"/>
      <w:marRight w:val="0"/>
      <w:marTop w:val="0"/>
      <w:marBottom w:val="0"/>
      <w:divBdr>
        <w:top w:val="none" w:sz="0" w:space="0" w:color="auto"/>
        <w:left w:val="none" w:sz="0" w:space="0" w:color="auto"/>
        <w:bottom w:val="none" w:sz="0" w:space="0" w:color="auto"/>
        <w:right w:val="none" w:sz="0" w:space="0" w:color="auto"/>
      </w:divBdr>
    </w:div>
    <w:div w:id="2013993606">
      <w:bodyDiv w:val="1"/>
      <w:marLeft w:val="0"/>
      <w:marRight w:val="0"/>
      <w:marTop w:val="0"/>
      <w:marBottom w:val="0"/>
      <w:divBdr>
        <w:top w:val="none" w:sz="0" w:space="0" w:color="auto"/>
        <w:left w:val="none" w:sz="0" w:space="0" w:color="auto"/>
        <w:bottom w:val="none" w:sz="0" w:space="0" w:color="auto"/>
        <w:right w:val="none" w:sz="0" w:space="0" w:color="auto"/>
      </w:divBdr>
    </w:div>
    <w:div w:id="213177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ent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amedeo-arena-francesco-bestagno-giulia-rossolillo/mercato-unico-e-liberta-di-circolazione-nellunione-europea-9788892133341-683168.html" TargetMode="External"/><Relationship Id="rId5" Type="http://schemas.openxmlformats.org/officeDocument/2006/relationships/hyperlink" Target="https://librerie.unicatt.it/scheda-libro/ugo-draetta-francesco-bestagno-andrea-santini/elementi-di-diritto-dellunione-europea-parte-istituzionale-ordinamento-e-struttura-dellunione-europea-9788828805007-552849.html?search_string=draetta%20Elementi%20di%20diritto%20dell%E2%80%99Unione%20Europea&amp;search_results=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1432</Words>
  <Characters>8167</Characters>
  <Application>Microsoft Office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Marenghi</dc:creator>
  <cp:lastModifiedBy>Cappa Marzia</cp:lastModifiedBy>
  <cp:revision>5</cp:revision>
  <dcterms:created xsi:type="dcterms:W3CDTF">2023-06-12T12:58:00Z</dcterms:created>
  <dcterms:modified xsi:type="dcterms:W3CDTF">2024-01-19T09:13:00Z</dcterms:modified>
</cp:coreProperties>
</file>