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0F7D" w14:textId="77777777" w:rsidR="00297957" w:rsidRPr="005C616F" w:rsidRDefault="00297957" w:rsidP="00297957">
      <w:pPr>
        <w:rPr>
          <w:rFonts w:ascii="Times New Roman" w:hAnsi="Times New Roman"/>
          <w:b/>
          <w:lang w:val="en-GB"/>
        </w:rPr>
      </w:pPr>
      <w:r w:rsidRPr="005C616F">
        <w:rPr>
          <w:rFonts w:ascii="Times New Roman" w:hAnsi="Times New Roman"/>
          <w:b/>
          <w:lang w:val="en-GB"/>
        </w:rPr>
        <w:t>Business Crisis Law</w:t>
      </w:r>
    </w:p>
    <w:p w14:paraId="15A6FF7C" w14:textId="77777777" w:rsidR="00297957" w:rsidRPr="005C616F" w:rsidRDefault="00297957" w:rsidP="00297957">
      <w:pPr>
        <w:pStyle w:val="Titolo2"/>
        <w:rPr>
          <w:rFonts w:ascii="Times New Roman" w:hAnsi="Times New Roman"/>
          <w:sz w:val="20"/>
          <w:lang w:val="en-GB"/>
        </w:rPr>
      </w:pPr>
      <w:r w:rsidRPr="005C616F">
        <w:rPr>
          <w:rFonts w:ascii="Times New Roman" w:hAnsi="Times New Roman"/>
          <w:sz w:val="20"/>
          <w:lang w:val="en-GB"/>
        </w:rPr>
        <w:t>Prof. Claudio Frigeni – Prof. Antonino Barletta</w:t>
      </w:r>
    </w:p>
    <w:p w14:paraId="42A4000E" w14:textId="77777777" w:rsidR="00297957" w:rsidRPr="005C616F" w:rsidRDefault="00297957" w:rsidP="00297957">
      <w:pPr>
        <w:pStyle w:val="Titolo3"/>
        <w:rPr>
          <w:lang w:val="en-GB"/>
        </w:rPr>
      </w:pPr>
    </w:p>
    <w:p w14:paraId="0BC1BD21" w14:textId="77777777" w:rsidR="00297957" w:rsidRPr="005C616F" w:rsidRDefault="00297957" w:rsidP="00297957">
      <w:pPr>
        <w:pStyle w:val="Titolo1"/>
        <w:rPr>
          <w:rFonts w:ascii="Times New Roman" w:hAnsi="Times New Roman"/>
          <w:lang w:val="en-GB"/>
        </w:rPr>
      </w:pPr>
      <w:r w:rsidRPr="005C616F">
        <w:rPr>
          <w:rFonts w:ascii="Times New Roman" w:hAnsi="Times New Roman"/>
          <w:lang w:val="en-GB"/>
        </w:rPr>
        <w:t>Module 1 - Business Crisis Law (substantive part)</w:t>
      </w:r>
    </w:p>
    <w:p w14:paraId="22815CC7" w14:textId="77777777" w:rsidR="00297957" w:rsidRPr="005C616F" w:rsidRDefault="00297957" w:rsidP="00297957">
      <w:pPr>
        <w:pStyle w:val="Titolo2"/>
        <w:rPr>
          <w:rFonts w:ascii="Times New Roman" w:hAnsi="Times New Roman"/>
          <w:sz w:val="20"/>
          <w:lang w:val="en-GB"/>
        </w:rPr>
      </w:pPr>
      <w:r w:rsidRPr="005C616F">
        <w:rPr>
          <w:rFonts w:ascii="Times New Roman" w:hAnsi="Times New Roman"/>
          <w:sz w:val="20"/>
          <w:lang w:val="en-GB"/>
        </w:rPr>
        <w:t>Prof. Claudio Frigeni</w:t>
      </w:r>
    </w:p>
    <w:p w14:paraId="57D10433" w14:textId="77777777" w:rsidR="00297957" w:rsidRPr="005C616F" w:rsidRDefault="00297957" w:rsidP="00297957">
      <w:pPr>
        <w:tabs>
          <w:tab w:val="clear" w:pos="284"/>
        </w:tabs>
        <w:spacing w:line="220" w:lineRule="exact"/>
        <w:rPr>
          <w:rFonts w:ascii="Times New Roman" w:hAnsi="Times New Roman"/>
          <w:noProof/>
          <w:lang w:val="en-GB"/>
        </w:rPr>
      </w:pPr>
    </w:p>
    <w:p w14:paraId="089B046E" w14:textId="77777777" w:rsidR="00297957" w:rsidRPr="005C616F" w:rsidRDefault="00297957" w:rsidP="00297957">
      <w:pPr>
        <w:spacing w:before="240" w:after="120"/>
        <w:rPr>
          <w:rFonts w:ascii="Times New Roman" w:hAnsi="Times New Roman"/>
          <w:b/>
          <w:lang w:val="en-GB"/>
        </w:rPr>
      </w:pPr>
      <w:bookmarkStart w:id="0" w:name="_Hlk76557115"/>
      <w:r w:rsidRPr="005C616F">
        <w:rPr>
          <w:b/>
          <w:i/>
          <w:sz w:val="18"/>
          <w:lang w:val="en-GB"/>
        </w:rPr>
        <w:t>COURSE AIMS AND INTENDED LEARNING OUTCOMES</w:t>
      </w:r>
      <w:bookmarkEnd w:id="0"/>
    </w:p>
    <w:p w14:paraId="3E0592A7" w14:textId="77777777" w:rsidR="00297957" w:rsidRPr="005C616F" w:rsidRDefault="00297957" w:rsidP="00297957">
      <w:pPr>
        <w:rPr>
          <w:rFonts w:ascii="Times New Roman" w:hAnsi="Times New Roman"/>
          <w:lang w:val="en-GB"/>
        </w:rPr>
      </w:pPr>
      <w:r w:rsidRPr="005C616F">
        <w:rPr>
          <w:rFonts w:ascii="Times New Roman" w:hAnsi="Times New Roman"/>
          <w:lang w:val="en-GB"/>
        </w:rPr>
        <w:t xml:space="preserve">The course aims to </w:t>
      </w:r>
      <w:r>
        <w:rPr>
          <w:rFonts w:ascii="Times New Roman" w:hAnsi="Times New Roman"/>
          <w:lang w:val="en-GB"/>
        </w:rPr>
        <w:t xml:space="preserve">provide an analysis of </w:t>
      </w:r>
      <w:r w:rsidRPr="005C616F">
        <w:rPr>
          <w:rFonts w:ascii="Times New Roman" w:hAnsi="Times New Roman"/>
          <w:lang w:val="en-GB"/>
        </w:rPr>
        <w:t>the themes and issues raised by the occurrence of a business crisis situation</w:t>
      </w:r>
      <w:r>
        <w:rPr>
          <w:rFonts w:ascii="Times New Roman" w:hAnsi="Times New Roman"/>
          <w:lang w:val="en-GB"/>
        </w:rPr>
        <w:t>,</w:t>
      </w:r>
      <w:r w:rsidRPr="005C616F">
        <w:rPr>
          <w:rFonts w:ascii="Times New Roman" w:hAnsi="Times New Roman"/>
          <w:lang w:val="en-GB"/>
        </w:rPr>
        <w:t xml:space="preserve"> and</w:t>
      </w:r>
      <w:r>
        <w:rPr>
          <w:rFonts w:ascii="Times New Roman" w:hAnsi="Times New Roman"/>
          <w:lang w:val="en-GB"/>
        </w:rPr>
        <w:t xml:space="preserve"> of</w:t>
      </w:r>
      <w:r w:rsidRPr="005C616F">
        <w:rPr>
          <w:rFonts w:ascii="Times New Roman" w:hAnsi="Times New Roman"/>
          <w:lang w:val="en-GB"/>
        </w:rPr>
        <w:t xml:space="preserve"> the solutions and related legal </w:t>
      </w:r>
      <w:r>
        <w:rPr>
          <w:rFonts w:ascii="Times New Roman" w:hAnsi="Times New Roman"/>
          <w:lang w:val="en-GB"/>
        </w:rPr>
        <w:t>principles</w:t>
      </w:r>
      <w:r w:rsidRPr="005C616F">
        <w:rPr>
          <w:rFonts w:ascii="Times New Roman" w:hAnsi="Times New Roman"/>
          <w:lang w:val="en-GB"/>
        </w:rPr>
        <w:t xml:space="preserve"> </w:t>
      </w:r>
      <w:r>
        <w:rPr>
          <w:rFonts w:ascii="Times New Roman" w:hAnsi="Times New Roman"/>
          <w:lang w:val="en-GB"/>
        </w:rPr>
        <w:t>established</w:t>
      </w:r>
      <w:r w:rsidRPr="005C616F">
        <w:rPr>
          <w:rFonts w:ascii="Times New Roman" w:hAnsi="Times New Roman"/>
          <w:lang w:val="en-GB"/>
        </w:rPr>
        <w:t xml:space="preserve"> by law to protect the interests of the various subjects involved.</w:t>
      </w:r>
    </w:p>
    <w:p w14:paraId="76D7EE53" w14:textId="77777777" w:rsidR="00297957" w:rsidRPr="005C616F" w:rsidRDefault="00297957" w:rsidP="00297957">
      <w:pPr>
        <w:rPr>
          <w:rFonts w:ascii="Times New Roman" w:hAnsi="Times New Roman"/>
          <w:lang w:val="en-GB"/>
        </w:rPr>
      </w:pPr>
    </w:p>
    <w:p w14:paraId="54DEE84D" w14:textId="77777777" w:rsidR="00297957" w:rsidRPr="005C616F" w:rsidRDefault="00297957" w:rsidP="00297957">
      <w:pPr>
        <w:rPr>
          <w:rFonts w:ascii="Times New Roman" w:hAnsi="Times New Roman"/>
          <w:b/>
          <w:i/>
          <w:lang w:val="en-GB"/>
        </w:rPr>
      </w:pPr>
      <w:r w:rsidRPr="005C616F">
        <w:rPr>
          <w:rFonts w:ascii="Times New Roman" w:hAnsi="Times New Roman"/>
          <w:b/>
          <w:i/>
          <w:lang w:val="en-GB"/>
        </w:rPr>
        <w:t>Intended learning outcomes</w:t>
      </w:r>
    </w:p>
    <w:p w14:paraId="0682BF72" w14:textId="77777777" w:rsidR="00297957" w:rsidRPr="005C616F" w:rsidRDefault="00297957" w:rsidP="00297957">
      <w:pPr>
        <w:rPr>
          <w:rFonts w:ascii="Times New Roman" w:hAnsi="Times New Roman"/>
          <w:lang w:val="en-GB"/>
        </w:rPr>
      </w:pPr>
      <w:r w:rsidRPr="005C616F">
        <w:rPr>
          <w:rFonts w:ascii="Times New Roman" w:hAnsi="Times New Roman"/>
          <w:lang w:val="en-GB"/>
        </w:rPr>
        <w:t>At the end of the course student</w:t>
      </w:r>
      <w:r>
        <w:rPr>
          <w:rFonts w:ascii="Times New Roman" w:hAnsi="Times New Roman"/>
          <w:lang w:val="en-GB"/>
        </w:rPr>
        <w:t>s</w:t>
      </w:r>
      <w:r w:rsidRPr="005C616F">
        <w:rPr>
          <w:rFonts w:ascii="Times New Roman" w:hAnsi="Times New Roman"/>
          <w:lang w:val="en-GB"/>
        </w:rPr>
        <w:t xml:space="preserve"> will be able to: i) identify the main problems associated with the occurrence of a business crisis and the range of solutions offered by the law to address them; ii) know the fundamental rules of the company crisis prevention tools and of the assisted settlement process; iii) know the agreed regulatory tools which the company in crisis can access and the different effects that are connected to each of them; iv) know the fundamental rules of the judicial liquidation of the company in crisis.</w:t>
      </w:r>
    </w:p>
    <w:p w14:paraId="60F73A59" w14:textId="77777777" w:rsidR="00297957" w:rsidRPr="005C616F" w:rsidRDefault="00297957" w:rsidP="00297957">
      <w:pPr>
        <w:spacing w:before="240" w:after="120"/>
        <w:rPr>
          <w:rFonts w:ascii="Times New Roman" w:hAnsi="Times New Roman"/>
          <w:b/>
          <w:lang w:val="en-GB"/>
        </w:rPr>
      </w:pPr>
      <w:bookmarkStart w:id="1" w:name="_Hlk76557154"/>
      <w:r w:rsidRPr="005C616F">
        <w:rPr>
          <w:b/>
          <w:i/>
          <w:sz w:val="18"/>
          <w:lang w:val="en-GB"/>
        </w:rPr>
        <w:t>COURSE CONTENT</w:t>
      </w:r>
      <w:bookmarkEnd w:id="1"/>
    </w:p>
    <w:p w14:paraId="0786628B" w14:textId="77777777" w:rsidR="00297957" w:rsidRPr="005C616F" w:rsidRDefault="00297957" w:rsidP="00297957">
      <w:pPr>
        <w:spacing w:before="240" w:after="120" w:line="220" w:lineRule="exact"/>
        <w:rPr>
          <w:rFonts w:ascii="Times New Roman" w:hAnsi="Times New Roman"/>
          <w:lang w:val="en-GB"/>
        </w:rPr>
      </w:pPr>
      <w:r w:rsidRPr="005C616F">
        <w:rPr>
          <w:rFonts w:ascii="Times New Roman" w:hAnsi="Times New Roman"/>
          <w:lang w:val="en-GB"/>
        </w:rPr>
        <w:t xml:space="preserve">The course will examine the principles </w:t>
      </w:r>
      <w:r>
        <w:rPr>
          <w:rFonts w:ascii="Times New Roman" w:hAnsi="Times New Roman"/>
          <w:lang w:val="en-GB"/>
        </w:rPr>
        <w:t>underlying</w:t>
      </w:r>
      <w:r w:rsidRPr="005C616F">
        <w:rPr>
          <w:rFonts w:ascii="Times New Roman" w:hAnsi="Times New Roman"/>
          <w:lang w:val="en-GB"/>
        </w:rPr>
        <w:t xml:space="preserve"> the discipline of the business crisis</w:t>
      </w:r>
      <w:r>
        <w:rPr>
          <w:rFonts w:ascii="Times New Roman" w:hAnsi="Times New Roman"/>
          <w:lang w:val="en-GB"/>
        </w:rPr>
        <w:t>, which protect th</w:t>
      </w:r>
      <w:r w:rsidRPr="005C616F">
        <w:rPr>
          <w:rFonts w:ascii="Times New Roman" w:hAnsi="Times New Roman"/>
          <w:lang w:val="en-GB"/>
        </w:rPr>
        <w:t>e interests of the various subjects involved</w:t>
      </w:r>
      <w:r>
        <w:rPr>
          <w:rFonts w:ascii="Times New Roman" w:hAnsi="Times New Roman"/>
          <w:lang w:val="en-GB"/>
        </w:rPr>
        <w:t xml:space="preserve">, </w:t>
      </w:r>
      <w:r w:rsidRPr="005C616F">
        <w:rPr>
          <w:rFonts w:ascii="Times New Roman" w:hAnsi="Times New Roman"/>
          <w:lang w:val="en-GB"/>
        </w:rPr>
        <w:t xml:space="preserve">in light of the Code of the Business Crisis and Insolvency (Legislative Decree No. 14/2019) </w:t>
      </w:r>
      <w:r>
        <w:rPr>
          <w:rFonts w:ascii="Times New Roman" w:hAnsi="Times New Roman"/>
          <w:lang w:val="en-GB"/>
        </w:rPr>
        <w:t>as</w:t>
      </w:r>
      <w:r w:rsidRPr="005C616F">
        <w:rPr>
          <w:rFonts w:ascii="Times New Roman" w:hAnsi="Times New Roman"/>
          <w:lang w:val="en-GB"/>
        </w:rPr>
        <w:t xml:space="preserve"> it </w:t>
      </w:r>
      <w:r>
        <w:rPr>
          <w:rFonts w:ascii="Times New Roman" w:hAnsi="Times New Roman"/>
          <w:lang w:val="en-GB"/>
        </w:rPr>
        <w:t>effectively</w:t>
      </w:r>
      <w:r w:rsidRPr="005C616F">
        <w:rPr>
          <w:rFonts w:ascii="Times New Roman" w:hAnsi="Times New Roman"/>
          <w:lang w:val="en-GB"/>
        </w:rPr>
        <w:t xml:space="preserve"> entered into force following the changes made also during the implementation of the Insolvency Directive</w:t>
      </w:r>
      <w:r>
        <w:rPr>
          <w:rFonts w:ascii="Times New Roman" w:hAnsi="Times New Roman"/>
          <w:lang w:val="en-GB"/>
        </w:rPr>
        <w:t xml:space="preserve">. </w:t>
      </w:r>
      <w:r w:rsidRPr="005C616F">
        <w:rPr>
          <w:rFonts w:ascii="Times New Roman" w:hAnsi="Times New Roman"/>
          <w:lang w:val="en-GB"/>
        </w:rPr>
        <w:t>Firstly, the</w:t>
      </w:r>
      <w:r>
        <w:rPr>
          <w:rFonts w:ascii="Times New Roman" w:hAnsi="Times New Roman"/>
          <w:lang w:val="en-GB"/>
        </w:rPr>
        <w:t xml:space="preserve"> course will analyse the </w:t>
      </w:r>
      <w:r w:rsidRPr="005C616F">
        <w:rPr>
          <w:rFonts w:ascii="Times New Roman" w:hAnsi="Times New Roman"/>
          <w:lang w:val="en-GB"/>
        </w:rPr>
        <w:t xml:space="preserve">conditions </w:t>
      </w:r>
      <w:r>
        <w:rPr>
          <w:rFonts w:ascii="Times New Roman" w:hAnsi="Times New Roman"/>
          <w:lang w:val="en-GB"/>
        </w:rPr>
        <w:t>for</w:t>
      </w:r>
      <w:r w:rsidRPr="005C616F">
        <w:rPr>
          <w:rFonts w:ascii="Times New Roman" w:hAnsi="Times New Roman"/>
          <w:lang w:val="en-GB"/>
        </w:rPr>
        <w:t xml:space="preserve"> </w:t>
      </w:r>
      <w:r>
        <w:rPr>
          <w:rFonts w:ascii="Times New Roman" w:hAnsi="Times New Roman"/>
          <w:lang w:val="en-GB"/>
        </w:rPr>
        <w:t xml:space="preserve">being </w:t>
      </w:r>
      <w:r w:rsidRPr="005C616F">
        <w:rPr>
          <w:rFonts w:ascii="Times New Roman" w:hAnsi="Times New Roman"/>
          <w:lang w:val="en-GB"/>
        </w:rPr>
        <w:t>subject</w:t>
      </w:r>
      <w:r>
        <w:rPr>
          <w:rFonts w:ascii="Times New Roman" w:hAnsi="Times New Roman"/>
          <w:lang w:val="en-GB"/>
        </w:rPr>
        <w:t>ed</w:t>
      </w:r>
      <w:r w:rsidRPr="005C616F">
        <w:rPr>
          <w:rFonts w:ascii="Times New Roman" w:hAnsi="Times New Roman"/>
          <w:lang w:val="en-GB"/>
        </w:rPr>
        <w:t xml:space="preserve"> to the special discipline of the </w:t>
      </w:r>
      <w:r>
        <w:rPr>
          <w:rFonts w:ascii="Times New Roman" w:hAnsi="Times New Roman"/>
          <w:lang w:val="en-GB"/>
        </w:rPr>
        <w:t>business</w:t>
      </w:r>
      <w:r w:rsidRPr="005C616F">
        <w:rPr>
          <w:rFonts w:ascii="Times New Roman" w:hAnsi="Times New Roman"/>
          <w:lang w:val="en-GB"/>
        </w:rPr>
        <w:t xml:space="preserve"> crisis and the organi</w:t>
      </w:r>
      <w:r>
        <w:rPr>
          <w:rFonts w:ascii="Times New Roman" w:hAnsi="Times New Roman"/>
          <w:lang w:val="en-GB"/>
        </w:rPr>
        <w:t>s</w:t>
      </w:r>
      <w:r w:rsidRPr="005C616F">
        <w:rPr>
          <w:rFonts w:ascii="Times New Roman" w:hAnsi="Times New Roman"/>
          <w:lang w:val="en-GB"/>
        </w:rPr>
        <w:t xml:space="preserve">ational obligations connected to the need for timely detection of the crisis, as well as the envisaged discipline on the subject of negotiated settlement of the crisis. Secondly, </w:t>
      </w:r>
      <w:r>
        <w:rPr>
          <w:rFonts w:ascii="Times New Roman" w:hAnsi="Times New Roman"/>
          <w:lang w:val="en-GB"/>
        </w:rPr>
        <w:t xml:space="preserve">the course will address </w:t>
      </w:r>
      <w:r w:rsidRPr="005C616F">
        <w:rPr>
          <w:rFonts w:ascii="Times New Roman" w:hAnsi="Times New Roman"/>
          <w:lang w:val="en-GB"/>
        </w:rPr>
        <w:t xml:space="preserve">the </w:t>
      </w:r>
      <w:r>
        <w:rPr>
          <w:rFonts w:ascii="Times New Roman" w:hAnsi="Times New Roman"/>
          <w:lang w:val="en-GB"/>
        </w:rPr>
        <w:t>principles</w:t>
      </w:r>
      <w:r w:rsidRPr="005C616F">
        <w:rPr>
          <w:rFonts w:ascii="Times New Roman" w:hAnsi="Times New Roman"/>
          <w:lang w:val="en-GB"/>
        </w:rPr>
        <w:t xml:space="preserve"> to which the company in crisis can </w:t>
      </w:r>
      <w:r>
        <w:rPr>
          <w:rFonts w:ascii="Times New Roman" w:hAnsi="Times New Roman"/>
          <w:lang w:val="en-GB"/>
        </w:rPr>
        <w:t>resort to</w:t>
      </w:r>
      <w:r w:rsidRPr="005C616F">
        <w:rPr>
          <w:rFonts w:ascii="Times New Roman" w:hAnsi="Times New Roman"/>
          <w:lang w:val="en-GB"/>
        </w:rPr>
        <w:t xml:space="preserve"> in a restructuring perspective (agreements and </w:t>
      </w:r>
      <w:r w:rsidRPr="007A128A">
        <w:rPr>
          <w:rFonts w:ascii="Times New Roman" w:hAnsi="Times New Roman"/>
          <w:lang w:val="en-GB"/>
        </w:rPr>
        <w:t>certified recovery plans</w:t>
      </w:r>
      <w:r w:rsidRPr="005C616F">
        <w:rPr>
          <w:rFonts w:ascii="Times New Roman" w:hAnsi="Times New Roman"/>
          <w:lang w:val="en-GB"/>
        </w:rPr>
        <w:t xml:space="preserve">, approved agreements, composition with creditors on a going concern basis) as well as the legal </w:t>
      </w:r>
      <w:r>
        <w:rPr>
          <w:rFonts w:ascii="Times New Roman" w:hAnsi="Times New Roman"/>
          <w:lang w:val="en-GB"/>
        </w:rPr>
        <w:t>principles</w:t>
      </w:r>
      <w:r w:rsidRPr="005C616F">
        <w:rPr>
          <w:rFonts w:ascii="Times New Roman" w:hAnsi="Times New Roman"/>
          <w:lang w:val="en-GB"/>
        </w:rPr>
        <w:t xml:space="preserve"> envisaged to favo</w:t>
      </w:r>
      <w:r>
        <w:rPr>
          <w:rFonts w:ascii="Times New Roman" w:hAnsi="Times New Roman"/>
          <w:lang w:val="en-GB"/>
        </w:rPr>
        <w:t>u</w:t>
      </w:r>
      <w:r w:rsidRPr="005C616F">
        <w:rPr>
          <w:rFonts w:ascii="Times New Roman" w:hAnsi="Times New Roman"/>
          <w:lang w:val="en-GB"/>
        </w:rPr>
        <w:t>r the achievement of this result (protection from creditors, exemption from bankruptcy clawback, financial support and pre-deduction, extension of agreements to non-members, composition agreements). Lastly,</w:t>
      </w:r>
      <w:r>
        <w:rPr>
          <w:rFonts w:ascii="Times New Roman" w:hAnsi="Times New Roman"/>
          <w:lang w:val="en-GB"/>
        </w:rPr>
        <w:t xml:space="preserve"> the course will cover,</w:t>
      </w:r>
      <w:r w:rsidRPr="005C616F">
        <w:rPr>
          <w:rFonts w:ascii="Times New Roman" w:hAnsi="Times New Roman"/>
          <w:lang w:val="en-GB"/>
        </w:rPr>
        <w:t xml:space="preserve"> in general terms, the discipline relating to liquidation instruments (simplified composition agreement, liquidation agreement) and compulsory liquidation</w:t>
      </w:r>
      <w:r>
        <w:rPr>
          <w:rFonts w:ascii="Times New Roman" w:hAnsi="Times New Roman"/>
          <w:lang w:val="en-GB"/>
        </w:rPr>
        <w:t xml:space="preserve"> </w:t>
      </w:r>
      <w:r w:rsidRPr="005C616F">
        <w:rPr>
          <w:rFonts w:ascii="Times New Roman" w:hAnsi="Times New Roman"/>
          <w:lang w:val="en-GB"/>
        </w:rPr>
        <w:t xml:space="preserve">to </w:t>
      </w:r>
      <w:r>
        <w:rPr>
          <w:rFonts w:ascii="Times New Roman" w:hAnsi="Times New Roman"/>
          <w:lang w:val="en-GB"/>
        </w:rPr>
        <w:t xml:space="preserve">be applied in case </w:t>
      </w:r>
      <w:r w:rsidRPr="005C616F">
        <w:rPr>
          <w:rFonts w:ascii="Times New Roman" w:hAnsi="Times New Roman"/>
          <w:lang w:val="en-GB"/>
        </w:rPr>
        <w:t xml:space="preserve">it is not possible to find an agreed solution to the </w:t>
      </w:r>
      <w:r>
        <w:rPr>
          <w:rFonts w:ascii="Times New Roman" w:hAnsi="Times New Roman"/>
          <w:lang w:val="en-GB"/>
        </w:rPr>
        <w:t>business</w:t>
      </w:r>
      <w:r w:rsidRPr="005C616F">
        <w:rPr>
          <w:rFonts w:ascii="Times New Roman" w:hAnsi="Times New Roman"/>
          <w:lang w:val="en-GB"/>
        </w:rPr>
        <w:t xml:space="preserve"> crisis.</w:t>
      </w:r>
    </w:p>
    <w:p w14:paraId="497F2BCA" w14:textId="77777777" w:rsidR="00297957" w:rsidRPr="005C616F" w:rsidRDefault="00297957" w:rsidP="00297957">
      <w:pPr>
        <w:spacing w:before="240" w:after="120" w:line="220" w:lineRule="exact"/>
        <w:rPr>
          <w:rFonts w:ascii="Times New Roman" w:hAnsi="Times New Roman"/>
          <w:b/>
          <w:i/>
          <w:lang w:val="en-GB"/>
        </w:rPr>
      </w:pPr>
      <w:bookmarkStart w:id="2" w:name="_Hlk76557191"/>
      <w:r w:rsidRPr="005C616F">
        <w:rPr>
          <w:b/>
          <w:i/>
          <w:sz w:val="18"/>
          <w:lang w:val="en-GB"/>
        </w:rPr>
        <w:t>TEACHING METHOD</w:t>
      </w:r>
      <w:bookmarkEnd w:id="2"/>
    </w:p>
    <w:p w14:paraId="2EBFAE30" w14:textId="77777777" w:rsidR="00297957" w:rsidRPr="005C616F" w:rsidRDefault="00297957" w:rsidP="00297957">
      <w:pPr>
        <w:rPr>
          <w:rFonts w:ascii="Times New Roman" w:hAnsi="Times New Roman"/>
          <w:lang w:val="en-GB"/>
        </w:rPr>
      </w:pPr>
      <w:r w:rsidRPr="005C616F">
        <w:rPr>
          <w:rFonts w:ascii="Times New Roman" w:hAnsi="Times New Roman"/>
          <w:lang w:val="en-GB"/>
        </w:rPr>
        <w:t xml:space="preserve">The course is </w:t>
      </w:r>
      <w:r>
        <w:rPr>
          <w:rFonts w:ascii="Times New Roman" w:hAnsi="Times New Roman"/>
          <w:lang w:val="en-GB"/>
        </w:rPr>
        <w:t>mainly structured</w:t>
      </w:r>
      <w:r w:rsidRPr="005C616F">
        <w:rPr>
          <w:rFonts w:ascii="Times New Roman" w:hAnsi="Times New Roman"/>
          <w:lang w:val="en-GB"/>
        </w:rPr>
        <w:t xml:space="preserve"> into </w:t>
      </w:r>
      <w:r>
        <w:rPr>
          <w:rFonts w:ascii="Times New Roman" w:hAnsi="Times New Roman"/>
          <w:lang w:val="en-GB"/>
        </w:rPr>
        <w:t>seminar</w:t>
      </w:r>
      <w:r w:rsidRPr="005C616F">
        <w:rPr>
          <w:rFonts w:ascii="Times New Roman" w:hAnsi="Times New Roman"/>
          <w:lang w:val="en-GB"/>
        </w:rPr>
        <w:t xml:space="preserve"> lessons in the classroom</w:t>
      </w:r>
      <w:r>
        <w:rPr>
          <w:rFonts w:ascii="Times New Roman" w:hAnsi="Times New Roman"/>
          <w:lang w:val="en-GB"/>
        </w:rPr>
        <w:t xml:space="preserve">, </w:t>
      </w:r>
      <w:r w:rsidRPr="005C616F">
        <w:rPr>
          <w:rFonts w:ascii="Times New Roman" w:hAnsi="Times New Roman"/>
          <w:lang w:val="en-GB"/>
        </w:rPr>
        <w:t xml:space="preserve">which </w:t>
      </w:r>
      <w:r>
        <w:rPr>
          <w:rFonts w:ascii="Times New Roman" w:hAnsi="Times New Roman"/>
          <w:lang w:val="en-GB"/>
        </w:rPr>
        <w:t>require</w:t>
      </w:r>
      <w:r w:rsidRPr="005C616F">
        <w:rPr>
          <w:rFonts w:ascii="Times New Roman" w:hAnsi="Times New Roman"/>
          <w:lang w:val="en-GB"/>
        </w:rPr>
        <w:t xml:space="preserve"> knowledge of the parts of the manual indicated from time to time on the Blackboard platform. All students are </w:t>
      </w:r>
      <w:r>
        <w:rPr>
          <w:rFonts w:ascii="Times New Roman" w:hAnsi="Times New Roman"/>
          <w:lang w:val="en-GB"/>
        </w:rPr>
        <w:t>invited</w:t>
      </w:r>
      <w:r w:rsidRPr="005C616F">
        <w:rPr>
          <w:rFonts w:ascii="Times New Roman" w:hAnsi="Times New Roman"/>
          <w:lang w:val="en-GB"/>
        </w:rPr>
        <w:t xml:space="preserve"> to acquire the basic </w:t>
      </w:r>
      <w:r>
        <w:rPr>
          <w:rFonts w:ascii="Times New Roman" w:hAnsi="Times New Roman"/>
          <w:lang w:val="en-GB"/>
        </w:rPr>
        <w:t>skills</w:t>
      </w:r>
      <w:r w:rsidRPr="005C616F">
        <w:rPr>
          <w:rFonts w:ascii="Times New Roman" w:hAnsi="Times New Roman"/>
          <w:lang w:val="en-GB"/>
        </w:rPr>
        <w:t xml:space="preserve"> for using the Blackboard platform.</w:t>
      </w:r>
    </w:p>
    <w:p w14:paraId="0A8A3E0F" w14:textId="77777777" w:rsidR="00297957" w:rsidRPr="005C616F" w:rsidRDefault="00297957" w:rsidP="00297957">
      <w:pPr>
        <w:spacing w:before="240" w:after="120" w:line="220" w:lineRule="exact"/>
        <w:rPr>
          <w:rFonts w:ascii="Times New Roman" w:hAnsi="Times New Roman"/>
          <w:b/>
          <w:i/>
          <w:lang w:val="en-GB"/>
        </w:rPr>
      </w:pPr>
      <w:bookmarkStart w:id="3" w:name="_Hlk76557213"/>
      <w:r w:rsidRPr="005C616F">
        <w:rPr>
          <w:b/>
          <w:i/>
          <w:sz w:val="18"/>
          <w:lang w:val="en-GB"/>
        </w:rPr>
        <w:t>ASSESSMENT METHOD AND CRITERIA</w:t>
      </w:r>
      <w:bookmarkEnd w:id="3"/>
    </w:p>
    <w:p w14:paraId="747B7806" w14:textId="77777777" w:rsidR="00297957" w:rsidRPr="005C616F" w:rsidRDefault="00297957" w:rsidP="00297957">
      <w:pPr>
        <w:rPr>
          <w:lang w:val="en-GB"/>
        </w:rPr>
      </w:pPr>
      <w:r w:rsidRPr="005C616F">
        <w:rPr>
          <w:rFonts w:ascii="Times New Roman" w:hAnsi="Times New Roman"/>
          <w:lang w:val="en-GB"/>
        </w:rPr>
        <w:t xml:space="preserve">The </w:t>
      </w:r>
      <w:r>
        <w:rPr>
          <w:rFonts w:ascii="Times New Roman" w:hAnsi="Times New Roman"/>
          <w:lang w:val="en-GB"/>
        </w:rPr>
        <w:t>assessment</w:t>
      </w:r>
      <w:r w:rsidRPr="005C616F">
        <w:rPr>
          <w:rFonts w:ascii="Times New Roman" w:hAnsi="Times New Roman"/>
          <w:lang w:val="en-GB"/>
        </w:rPr>
        <w:t xml:space="preserve"> will take place in a </w:t>
      </w:r>
      <w:r>
        <w:rPr>
          <w:rFonts w:ascii="Times New Roman" w:hAnsi="Times New Roman"/>
          <w:lang w:val="en-GB"/>
        </w:rPr>
        <w:t>single</w:t>
      </w:r>
      <w:r w:rsidRPr="005C616F">
        <w:rPr>
          <w:rFonts w:ascii="Times New Roman" w:hAnsi="Times New Roman"/>
          <w:lang w:val="en-GB"/>
        </w:rPr>
        <w:t xml:space="preserve"> and contextual </w:t>
      </w:r>
      <w:r>
        <w:rPr>
          <w:rFonts w:ascii="Times New Roman" w:hAnsi="Times New Roman"/>
          <w:lang w:val="en-GB"/>
        </w:rPr>
        <w:t>session</w:t>
      </w:r>
      <w:r w:rsidRPr="005C616F">
        <w:rPr>
          <w:rFonts w:ascii="Times New Roman" w:hAnsi="Times New Roman"/>
          <w:lang w:val="en-GB"/>
        </w:rPr>
        <w:t xml:space="preserve"> for the substanti</w:t>
      </w:r>
      <w:r>
        <w:rPr>
          <w:rFonts w:ascii="Times New Roman" w:hAnsi="Times New Roman"/>
          <w:lang w:val="en-GB"/>
        </w:rPr>
        <w:t>ve</w:t>
      </w:r>
      <w:r w:rsidRPr="005C616F">
        <w:rPr>
          <w:rFonts w:ascii="Times New Roman" w:hAnsi="Times New Roman"/>
          <w:lang w:val="en-GB"/>
        </w:rPr>
        <w:t xml:space="preserve"> and the procedural part of the course and </w:t>
      </w:r>
      <w:r>
        <w:rPr>
          <w:rFonts w:ascii="Times New Roman" w:hAnsi="Times New Roman"/>
          <w:lang w:val="en-GB"/>
        </w:rPr>
        <w:t>consists of</w:t>
      </w:r>
      <w:r w:rsidRPr="005C616F">
        <w:rPr>
          <w:rFonts w:ascii="Times New Roman" w:hAnsi="Times New Roman"/>
          <w:lang w:val="en-GB"/>
        </w:rPr>
        <w:t xml:space="preserve"> a written test with three open</w:t>
      </w:r>
      <w:r>
        <w:rPr>
          <w:rFonts w:ascii="Times New Roman" w:hAnsi="Times New Roman"/>
          <w:lang w:val="en-GB"/>
        </w:rPr>
        <w:t>-ended</w:t>
      </w:r>
      <w:r w:rsidRPr="005C616F">
        <w:rPr>
          <w:rFonts w:ascii="Times New Roman" w:hAnsi="Times New Roman"/>
          <w:lang w:val="en-GB"/>
        </w:rPr>
        <w:t xml:space="preserve"> questions (two questions on the substanti</w:t>
      </w:r>
      <w:r>
        <w:rPr>
          <w:rFonts w:ascii="Times New Roman" w:hAnsi="Times New Roman"/>
          <w:lang w:val="en-GB"/>
        </w:rPr>
        <w:t>ve</w:t>
      </w:r>
      <w:r w:rsidRPr="005C616F">
        <w:rPr>
          <w:rFonts w:ascii="Times New Roman" w:hAnsi="Times New Roman"/>
          <w:lang w:val="en-GB"/>
        </w:rPr>
        <w:t xml:space="preserve"> part, one on the procedural part). </w:t>
      </w:r>
      <w:r>
        <w:rPr>
          <w:rFonts w:ascii="Times New Roman" w:hAnsi="Times New Roman"/>
          <w:lang w:val="en-GB"/>
        </w:rPr>
        <w:t>The students’ answers will be assessed based on criteria such as</w:t>
      </w:r>
      <w:r w:rsidRPr="005C616F">
        <w:rPr>
          <w:rFonts w:ascii="Times New Roman" w:hAnsi="Times New Roman"/>
          <w:lang w:val="en-GB"/>
        </w:rPr>
        <w:t xml:space="preserve"> the</w:t>
      </w:r>
      <w:r>
        <w:rPr>
          <w:rFonts w:ascii="Times New Roman" w:hAnsi="Times New Roman"/>
          <w:lang w:val="en-GB"/>
        </w:rPr>
        <w:t>ir</w:t>
      </w:r>
      <w:r w:rsidRPr="005C616F">
        <w:rPr>
          <w:rFonts w:ascii="Times New Roman" w:hAnsi="Times New Roman"/>
          <w:lang w:val="en-GB"/>
        </w:rPr>
        <w:t xml:space="preserve"> critical ability in organi</w:t>
      </w:r>
      <w:r>
        <w:rPr>
          <w:rFonts w:ascii="Times New Roman" w:hAnsi="Times New Roman"/>
          <w:lang w:val="en-GB"/>
        </w:rPr>
        <w:t>s</w:t>
      </w:r>
      <w:r w:rsidRPr="005C616F">
        <w:rPr>
          <w:rFonts w:ascii="Times New Roman" w:hAnsi="Times New Roman"/>
          <w:lang w:val="en-GB"/>
        </w:rPr>
        <w:t xml:space="preserve">ing the presentation of the topics learned and the use of appropriate terminology. In particular, the </w:t>
      </w:r>
      <w:r>
        <w:rPr>
          <w:rFonts w:ascii="Times New Roman" w:hAnsi="Times New Roman"/>
          <w:lang w:val="en-GB"/>
        </w:rPr>
        <w:t xml:space="preserve">test will verify the </w:t>
      </w:r>
      <w:r w:rsidRPr="005C616F">
        <w:rPr>
          <w:rFonts w:ascii="Times New Roman" w:hAnsi="Times New Roman"/>
          <w:lang w:val="en-GB"/>
        </w:rPr>
        <w:t>basic notions acquired and the knowledge of the main issues underlying the reference discipline, as well as the ability to argue possible solutions regarding the profiles indicated for the test</w:t>
      </w:r>
      <w:r w:rsidRPr="005C616F">
        <w:rPr>
          <w:lang w:val="en-GB"/>
        </w:rPr>
        <w:t xml:space="preserve">. </w:t>
      </w:r>
    </w:p>
    <w:p w14:paraId="3FB86F52" w14:textId="77777777" w:rsidR="00297957" w:rsidRPr="005C616F" w:rsidRDefault="00297957" w:rsidP="00297957">
      <w:pPr>
        <w:keepNext/>
        <w:spacing w:before="240" w:after="120"/>
        <w:rPr>
          <w:rFonts w:ascii="Times New Roman" w:hAnsi="Times New Roman"/>
          <w:b/>
          <w:lang w:val="en-GB"/>
        </w:rPr>
      </w:pPr>
      <w:bookmarkStart w:id="4" w:name="_Hlk76557173"/>
      <w:r w:rsidRPr="005C616F">
        <w:rPr>
          <w:b/>
          <w:i/>
          <w:sz w:val="18"/>
          <w:lang w:val="en-GB"/>
        </w:rPr>
        <w:lastRenderedPageBreak/>
        <w:t>READING LIST</w:t>
      </w:r>
      <w:bookmarkEnd w:id="4"/>
    </w:p>
    <w:p w14:paraId="2193816C" w14:textId="77777777" w:rsidR="00297957" w:rsidRPr="005C616F" w:rsidRDefault="00297957" w:rsidP="00297957">
      <w:pPr>
        <w:tabs>
          <w:tab w:val="clear" w:pos="284"/>
          <w:tab w:val="left" w:pos="708"/>
        </w:tabs>
        <w:spacing w:line="240" w:lineRule="auto"/>
        <w:rPr>
          <w:lang w:val="en-GB"/>
        </w:rPr>
      </w:pPr>
      <w:r w:rsidRPr="005C616F">
        <w:rPr>
          <w:lang w:val="en-GB"/>
        </w:rPr>
        <w:t>For attending students: lecture notes and the material specified during lectures.</w:t>
      </w:r>
    </w:p>
    <w:p w14:paraId="32D8BD8A" w14:textId="77777777" w:rsidR="00297957" w:rsidRPr="00D72EC4" w:rsidRDefault="00297957" w:rsidP="00297957">
      <w:pPr>
        <w:tabs>
          <w:tab w:val="clear" w:pos="284"/>
          <w:tab w:val="left" w:pos="708"/>
        </w:tabs>
        <w:spacing w:line="220" w:lineRule="exact"/>
      </w:pPr>
      <w:r w:rsidRPr="00D72EC4">
        <w:t>For non-attending students:</w:t>
      </w:r>
    </w:p>
    <w:p w14:paraId="3FEC1E8A" w14:textId="77777777" w:rsidR="00297957" w:rsidRPr="005C616F" w:rsidRDefault="00297957" w:rsidP="00297957">
      <w:pPr>
        <w:tabs>
          <w:tab w:val="clear" w:pos="284"/>
          <w:tab w:val="left" w:pos="708"/>
        </w:tabs>
        <w:spacing w:line="220" w:lineRule="exact"/>
        <w:ind w:left="708"/>
        <w:rPr>
          <w:lang w:val="en-GB"/>
        </w:rPr>
      </w:pPr>
      <w:r w:rsidRPr="00D72EC4">
        <w:rPr>
          <w:spacing w:val="-5"/>
        </w:rPr>
        <w:t xml:space="preserve">G. D’Attorre, </w:t>
      </w:r>
      <w:r w:rsidRPr="00D72EC4">
        <w:rPr>
          <w:i/>
          <w:spacing w:val="-5"/>
        </w:rPr>
        <w:t>Manuale di diritto della crisi e dell’insolvenza</w:t>
      </w:r>
      <w:r w:rsidRPr="00D72EC4">
        <w:rPr>
          <w:spacing w:val="-5"/>
        </w:rPr>
        <w:t xml:space="preserve">, Giappichelli, Turin, second edition, 2022 </w:t>
      </w:r>
      <w:r w:rsidRPr="00D72EC4">
        <w:rPr>
          <w:spacing w:val="-5"/>
          <w:u w:val="single"/>
        </w:rPr>
        <w:t xml:space="preserve">from ch. </w:t>
      </w:r>
      <w:r w:rsidRPr="005C616F">
        <w:rPr>
          <w:spacing w:val="-5"/>
          <w:u w:val="single"/>
          <w:lang w:val="en-GB"/>
        </w:rPr>
        <w:t>I to ch. X (pp. 1-384)</w:t>
      </w:r>
    </w:p>
    <w:p w14:paraId="605C71F1" w14:textId="77777777" w:rsidR="00297957" w:rsidRPr="005C616F" w:rsidRDefault="00297957" w:rsidP="00297957">
      <w:pPr>
        <w:pStyle w:val="Testonormale"/>
        <w:spacing w:line="240" w:lineRule="atLeast"/>
        <w:ind w:left="284" w:hanging="284"/>
        <w:jc w:val="both"/>
        <w:rPr>
          <w:rFonts w:ascii="Times" w:hAnsi="Times" w:cs="Times New Roman"/>
          <w:spacing w:val="-5"/>
          <w:sz w:val="18"/>
          <w:szCs w:val="18"/>
          <w:lang w:val="en-GB"/>
        </w:rPr>
      </w:pPr>
    </w:p>
    <w:p w14:paraId="558C1446" w14:textId="77777777" w:rsidR="00297957" w:rsidRPr="005C616F" w:rsidRDefault="00297957" w:rsidP="00297957">
      <w:pPr>
        <w:spacing w:before="240" w:after="120"/>
        <w:rPr>
          <w:rFonts w:ascii="Times New Roman" w:hAnsi="Times New Roman"/>
          <w:b/>
          <w:i/>
          <w:lang w:val="en-GB"/>
        </w:rPr>
      </w:pPr>
      <w:bookmarkStart w:id="5" w:name="_Hlk76557228"/>
      <w:r w:rsidRPr="005C616F">
        <w:rPr>
          <w:b/>
          <w:i/>
          <w:sz w:val="18"/>
          <w:lang w:val="en-GB"/>
        </w:rPr>
        <w:t>NOTES AND PREREQUISITES</w:t>
      </w:r>
      <w:bookmarkEnd w:id="5"/>
    </w:p>
    <w:p w14:paraId="79F2A694" w14:textId="77777777" w:rsidR="00297957" w:rsidRPr="005C616F" w:rsidRDefault="00297957" w:rsidP="00297957">
      <w:pPr>
        <w:pStyle w:val="Testo2"/>
        <w:ind w:firstLine="0"/>
        <w:rPr>
          <w:rFonts w:ascii="Times New Roman" w:hAnsi="Times New Roman"/>
          <w:sz w:val="20"/>
          <w:lang w:val="en-GB"/>
        </w:rPr>
      </w:pPr>
      <w:r w:rsidRPr="005C616F">
        <w:rPr>
          <w:rFonts w:ascii="Times New Roman" w:hAnsi="Times New Roman"/>
          <w:sz w:val="20"/>
          <w:lang w:val="en-GB"/>
        </w:rPr>
        <w:t>Prerequisite for the student is a basic knowledge of private law and commercial law.</w:t>
      </w:r>
    </w:p>
    <w:p w14:paraId="6CED8435" w14:textId="77777777" w:rsidR="00297957" w:rsidRPr="005C616F" w:rsidRDefault="00297957" w:rsidP="00297957">
      <w:pPr>
        <w:pStyle w:val="Testo2"/>
        <w:ind w:firstLine="0"/>
        <w:rPr>
          <w:rFonts w:ascii="Times New Roman" w:hAnsi="Times New Roman"/>
          <w:sz w:val="20"/>
          <w:lang w:val="en-GB"/>
        </w:rPr>
      </w:pPr>
    </w:p>
    <w:p w14:paraId="6EF5DC9D" w14:textId="77777777" w:rsidR="00297957" w:rsidRPr="005C616F" w:rsidRDefault="00297957" w:rsidP="00297957">
      <w:pPr>
        <w:pStyle w:val="Testo2"/>
        <w:ind w:firstLine="0"/>
        <w:rPr>
          <w:rFonts w:ascii="Times New Roman" w:hAnsi="Times New Roman"/>
          <w:sz w:val="20"/>
          <w:lang w:val="en-GB"/>
        </w:rPr>
      </w:pPr>
      <w:r w:rsidRPr="005C616F">
        <w:rPr>
          <w:rFonts w:ascii="Times New Roman" w:hAnsi="Times New Roman"/>
          <w:sz w:val="20"/>
          <w:lang w:val="en-GB"/>
        </w:rPr>
        <w:t xml:space="preserve">For the study of the </w:t>
      </w:r>
      <w:r>
        <w:rPr>
          <w:rFonts w:ascii="Times New Roman" w:hAnsi="Times New Roman"/>
          <w:sz w:val="20"/>
          <w:lang w:val="en-GB"/>
        </w:rPr>
        <w:t>subect</w:t>
      </w:r>
      <w:r w:rsidRPr="005C616F">
        <w:rPr>
          <w:rFonts w:ascii="Times New Roman" w:hAnsi="Times New Roman"/>
          <w:sz w:val="20"/>
          <w:lang w:val="en-GB"/>
        </w:rPr>
        <w:t xml:space="preserve"> it is essential to consult the updated normative texts. Students are required to be aware of any legislative or regulatory changes that may occur during the year and which will be made known via Blackboard and by means of a notice published on the </w:t>
      </w:r>
      <w:r>
        <w:rPr>
          <w:rFonts w:ascii="Times New Roman" w:hAnsi="Times New Roman"/>
          <w:sz w:val="20"/>
          <w:lang w:val="en-GB"/>
        </w:rPr>
        <w:t>lecture</w:t>
      </w:r>
      <w:r w:rsidRPr="005C616F">
        <w:rPr>
          <w:rFonts w:ascii="Times New Roman" w:hAnsi="Times New Roman"/>
          <w:sz w:val="20"/>
          <w:lang w:val="en-GB"/>
        </w:rPr>
        <w:t>r's personal web page (</w:t>
      </w:r>
      <w:hyperlink r:id="rId4" w:history="1">
        <w:r w:rsidRPr="005C616F">
          <w:rPr>
            <w:rStyle w:val="Collegamentoipertestuale"/>
            <w:rFonts w:ascii="Times New Roman" w:hAnsi="Times New Roman"/>
            <w:lang w:val="en-GB"/>
          </w:rPr>
          <w:t>http://docenti.unicatt.it/ita/claudio_frigeni/</w:t>
        </w:r>
      </w:hyperlink>
      <w:r w:rsidRPr="005C616F">
        <w:rPr>
          <w:rFonts w:ascii="Times New Roman" w:hAnsi="Times New Roman"/>
          <w:sz w:val="20"/>
          <w:lang w:val="en-GB"/>
        </w:rPr>
        <w:t>).</w:t>
      </w:r>
    </w:p>
    <w:p w14:paraId="691D5A82" w14:textId="77777777" w:rsidR="00297957" w:rsidRPr="005C616F" w:rsidRDefault="00297957" w:rsidP="00297957">
      <w:pPr>
        <w:tabs>
          <w:tab w:val="clear" w:pos="284"/>
          <w:tab w:val="left" w:pos="708"/>
        </w:tabs>
        <w:spacing w:line="220" w:lineRule="exact"/>
        <w:rPr>
          <w:rFonts w:ascii="Times New Roman" w:eastAsia="MS Mincho" w:hAnsi="Times New Roman"/>
          <w:b/>
          <w:i/>
          <w:lang w:val="en-GB"/>
        </w:rPr>
      </w:pPr>
    </w:p>
    <w:p w14:paraId="26262796" w14:textId="77777777" w:rsidR="00297957" w:rsidRPr="005C616F" w:rsidRDefault="00297957" w:rsidP="00297957">
      <w:pPr>
        <w:tabs>
          <w:tab w:val="clear" w:pos="284"/>
          <w:tab w:val="left" w:pos="708"/>
        </w:tabs>
        <w:spacing w:line="220" w:lineRule="exact"/>
        <w:rPr>
          <w:rFonts w:ascii="Times New Roman" w:hAnsi="Times New Roman"/>
          <w:noProof/>
          <w:lang w:val="en-GB"/>
        </w:rPr>
      </w:pPr>
      <w:bookmarkStart w:id="6" w:name="_Hlk76559061"/>
      <w:bookmarkStart w:id="7" w:name="_Hlk76565747"/>
      <w:r w:rsidRPr="005C616F">
        <w:rPr>
          <w:lang w:val="en-GB"/>
        </w:rPr>
        <w:t xml:space="preserve">Information on office hours available on the </w:t>
      </w:r>
      <w:r w:rsidRPr="00EF07E4">
        <w:rPr>
          <w:lang w:val="en-GB"/>
        </w:rPr>
        <w:t xml:space="preserve">teacher's </w:t>
      </w:r>
      <w:r w:rsidRPr="005C616F">
        <w:rPr>
          <w:lang w:val="en-GB"/>
        </w:rPr>
        <w:t xml:space="preserve">personal page at </w:t>
      </w:r>
      <w:hyperlink r:id="rId5" w:history="1">
        <w:r w:rsidRPr="005C616F">
          <w:rPr>
            <w:rStyle w:val="Collegamentoipertestuale"/>
            <w:lang w:val="en-GB"/>
          </w:rPr>
          <w:t>http://docenti.unicatt.it/</w:t>
        </w:r>
      </w:hyperlink>
      <w:bookmarkEnd w:id="6"/>
      <w:r w:rsidRPr="005C616F">
        <w:rPr>
          <w:lang w:val="en-GB"/>
        </w:rPr>
        <w:t>.</w:t>
      </w:r>
      <w:bookmarkEnd w:id="7"/>
    </w:p>
    <w:p w14:paraId="20C970B9" w14:textId="77777777" w:rsidR="00297957" w:rsidRPr="005C616F" w:rsidRDefault="00297957" w:rsidP="00297957">
      <w:pPr>
        <w:tabs>
          <w:tab w:val="clear" w:pos="284"/>
        </w:tabs>
        <w:spacing w:line="220" w:lineRule="exact"/>
        <w:rPr>
          <w:rFonts w:ascii="Times New Roman" w:hAnsi="Times New Roman"/>
          <w:noProof/>
          <w:lang w:val="en-GB"/>
        </w:rPr>
      </w:pPr>
    </w:p>
    <w:p w14:paraId="6AF62AC4" w14:textId="77777777" w:rsidR="00297957" w:rsidRPr="005C616F" w:rsidRDefault="00297957" w:rsidP="00297957">
      <w:pPr>
        <w:pStyle w:val="Titolo1"/>
        <w:rPr>
          <w:lang w:val="en-GB"/>
        </w:rPr>
      </w:pPr>
      <w:r w:rsidRPr="005C616F">
        <w:rPr>
          <w:lang w:val="en-GB"/>
        </w:rPr>
        <w:t>Module 2 - Business crisis law (procedural part)</w:t>
      </w:r>
    </w:p>
    <w:p w14:paraId="00D39EF0" w14:textId="77777777" w:rsidR="00297957" w:rsidRPr="005C616F" w:rsidRDefault="00297957" w:rsidP="00297957">
      <w:pPr>
        <w:pStyle w:val="Titolo2"/>
        <w:rPr>
          <w:lang w:val="en-GB"/>
        </w:rPr>
      </w:pPr>
      <w:r w:rsidRPr="005C616F">
        <w:rPr>
          <w:lang w:val="en-GB"/>
        </w:rPr>
        <w:t>Prof. Antonino Barletta</w:t>
      </w:r>
    </w:p>
    <w:p w14:paraId="518508DF" w14:textId="77777777" w:rsidR="00297957" w:rsidRPr="005C616F" w:rsidRDefault="00297957" w:rsidP="00297957">
      <w:pPr>
        <w:spacing w:before="240" w:after="120"/>
        <w:rPr>
          <w:b/>
          <w:sz w:val="18"/>
          <w:lang w:val="en-GB"/>
        </w:rPr>
      </w:pPr>
      <w:r w:rsidRPr="005C616F">
        <w:rPr>
          <w:b/>
          <w:i/>
          <w:sz w:val="18"/>
          <w:lang w:val="en-GB"/>
        </w:rPr>
        <w:t>COURSE AIMS AND INTENDED LEARNING OUTCOMES</w:t>
      </w:r>
    </w:p>
    <w:p w14:paraId="77B228E1" w14:textId="77777777" w:rsidR="00297957" w:rsidRPr="005C616F" w:rsidRDefault="00297957" w:rsidP="00297957">
      <w:pPr>
        <w:spacing w:line="240" w:lineRule="auto"/>
        <w:rPr>
          <w:lang w:val="en-GB"/>
        </w:rPr>
      </w:pPr>
      <w:r w:rsidRPr="004B68E5">
        <w:rPr>
          <w:lang w:val="en-GB"/>
        </w:rPr>
        <w:t>The purpose of the module is to provide students with an in-depth knowledge of the procedural discipline in the field of business crisis and insolvency</w:t>
      </w:r>
      <w:r w:rsidRPr="005C616F">
        <w:rPr>
          <w:lang w:val="en-GB"/>
        </w:rPr>
        <w:t>.</w:t>
      </w:r>
    </w:p>
    <w:p w14:paraId="08D72B30" w14:textId="77777777" w:rsidR="00297957" w:rsidRPr="005C616F" w:rsidRDefault="00297957" w:rsidP="00297957">
      <w:pPr>
        <w:rPr>
          <w:lang w:val="en-GB"/>
        </w:rPr>
      </w:pPr>
      <w:r w:rsidRPr="004B68E5">
        <w:rPr>
          <w:lang w:val="en-GB"/>
        </w:rPr>
        <w:t xml:space="preserve">At the end of the course, students will be able to master the mechanisms of prevention and resolution of business crises and insolvency. In particular, students will be able to coordinate the general principles and rules with the provisions </w:t>
      </w:r>
      <w:r>
        <w:rPr>
          <w:lang w:val="en-GB"/>
        </w:rPr>
        <w:t>for</w:t>
      </w:r>
      <w:r w:rsidRPr="004B68E5">
        <w:rPr>
          <w:lang w:val="en-GB"/>
        </w:rPr>
        <w:t xml:space="preserve"> the various procedures on the subject, independently applying the knowledge acquired in relation to practical cases</w:t>
      </w:r>
      <w:r w:rsidRPr="005C616F">
        <w:rPr>
          <w:lang w:val="en-GB"/>
        </w:rPr>
        <w:t>.</w:t>
      </w:r>
    </w:p>
    <w:p w14:paraId="41A09632" w14:textId="77777777" w:rsidR="00297957" w:rsidRPr="005C616F" w:rsidRDefault="00297957" w:rsidP="00297957">
      <w:pPr>
        <w:spacing w:before="240" w:after="120"/>
        <w:rPr>
          <w:b/>
          <w:i/>
          <w:sz w:val="18"/>
          <w:lang w:val="en-GB"/>
        </w:rPr>
      </w:pPr>
      <w:r w:rsidRPr="005C616F">
        <w:rPr>
          <w:b/>
          <w:i/>
          <w:sz w:val="18"/>
          <w:lang w:val="en-GB"/>
        </w:rPr>
        <w:t>COURSE CONTENT</w:t>
      </w:r>
    </w:p>
    <w:p w14:paraId="48AEDA20" w14:textId="77777777" w:rsidR="00297957" w:rsidRPr="005C616F" w:rsidRDefault="00297957" w:rsidP="00297957">
      <w:pPr>
        <w:spacing w:line="240" w:lineRule="auto"/>
        <w:rPr>
          <w:lang w:val="en-GB"/>
        </w:rPr>
      </w:pPr>
      <w:r w:rsidRPr="00EF05A0">
        <w:rPr>
          <w:lang w:val="en-GB"/>
        </w:rPr>
        <w:t>General notions regarding insolvency proce</w:t>
      </w:r>
      <w:r>
        <w:rPr>
          <w:lang w:val="en-GB"/>
        </w:rPr>
        <w:t>dures</w:t>
      </w:r>
      <w:r w:rsidRPr="00EF05A0">
        <w:rPr>
          <w:lang w:val="en-GB"/>
        </w:rPr>
        <w:t xml:space="preserve"> in comparison with individual </w:t>
      </w:r>
      <w:r>
        <w:rPr>
          <w:lang w:val="en-GB"/>
        </w:rPr>
        <w:t>enforcement procedures</w:t>
      </w:r>
      <w:r w:rsidRPr="00EF05A0">
        <w:rPr>
          <w:lang w:val="en-GB"/>
        </w:rPr>
        <w:t>. The transition from the bankruptcy law to the new code of business crisis and insolvency (Legislative Decree No. 14 of 2019).</w:t>
      </w:r>
      <w:r>
        <w:rPr>
          <w:lang w:val="en-GB"/>
        </w:rPr>
        <w:t xml:space="preserve"> </w:t>
      </w:r>
      <w:r w:rsidRPr="00EF05A0">
        <w:rPr>
          <w:lang w:val="en-GB"/>
        </w:rPr>
        <w:t xml:space="preserve">The procedural aspects of the negotiated settlement of the crisis and the </w:t>
      </w:r>
      <w:r>
        <w:rPr>
          <w:lang w:val="en-GB"/>
        </w:rPr>
        <w:t>single processing</w:t>
      </w:r>
      <w:r w:rsidRPr="00EF05A0">
        <w:rPr>
          <w:lang w:val="en-GB"/>
        </w:rPr>
        <w:t xml:space="preserve"> procedure of applications for access to preventive restructuring frameworks and insolvency proce</w:t>
      </w:r>
      <w:r>
        <w:rPr>
          <w:lang w:val="en-GB"/>
        </w:rPr>
        <w:t>edings</w:t>
      </w:r>
      <w:r w:rsidRPr="00EF05A0">
        <w:rPr>
          <w:lang w:val="en-GB"/>
        </w:rPr>
        <w:t xml:space="preserve"> (opening, precautionary and </w:t>
      </w:r>
      <w:r>
        <w:rPr>
          <w:lang w:val="en-GB"/>
        </w:rPr>
        <w:t>safety</w:t>
      </w:r>
      <w:r w:rsidRPr="00EF05A0">
        <w:rPr>
          <w:lang w:val="en-GB"/>
        </w:rPr>
        <w:t xml:space="preserve"> measures, conclusion and reward measures).</w:t>
      </w:r>
      <w:r>
        <w:rPr>
          <w:lang w:val="en-GB"/>
        </w:rPr>
        <w:t xml:space="preserve"> </w:t>
      </w:r>
      <w:r w:rsidRPr="008A516C">
        <w:rPr>
          <w:lang w:val="en-GB"/>
        </w:rPr>
        <w:t>The verification of the conditions for the opening of the judicial liquidation and of the alternative procedures (jurisdiction, competence, legitimacy, request and its waiver, position of the debtor, appeals).</w:t>
      </w:r>
      <w:r>
        <w:rPr>
          <w:lang w:val="en-GB"/>
        </w:rPr>
        <w:t xml:space="preserve"> </w:t>
      </w:r>
      <w:r w:rsidRPr="008A516C">
        <w:rPr>
          <w:lang w:val="en-GB"/>
        </w:rPr>
        <w:t>The bodies, effects</w:t>
      </w:r>
      <w:r>
        <w:rPr>
          <w:lang w:val="en-GB"/>
        </w:rPr>
        <w:t>,</w:t>
      </w:r>
      <w:r w:rsidRPr="008A516C">
        <w:rPr>
          <w:lang w:val="en-GB"/>
        </w:rPr>
        <w:t xml:space="preserve"> and main phases of the judicial procedures for regulating the crisis (debt restructuring agreements and composition with creditors) and of judicial liquidation. The arrangement in judicial liquidation. The discharge</w:t>
      </w:r>
      <w:r>
        <w:rPr>
          <w:lang w:val="en-GB"/>
        </w:rPr>
        <w:t xml:space="preserve"> of debt</w:t>
      </w:r>
      <w:r w:rsidRPr="005C616F">
        <w:rPr>
          <w:lang w:val="en-GB"/>
        </w:rPr>
        <w:t>.</w:t>
      </w:r>
    </w:p>
    <w:p w14:paraId="76F2CEEB" w14:textId="77777777" w:rsidR="00297957" w:rsidRPr="005C616F" w:rsidRDefault="00297957" w:rsidP="00297957">
      <w:pPr>
        <w:keepNext/>
        <w:spacing w:before="240" w:after="120"/>
        <w:rPr>
          <w:b/>
          <w:sz w:val="18"/>
          <w:lang w:val="en-GB"/>
        </w:rPr>
      </w:pPr>
      <w:r w:rsidRPr="005C616F">
        <w:rPr>
          <w:b/>
          <w:i/>
          <w:sz w:val="18"/>
          <w:lang w:val="en-GB"/>
        </w:rPr>
        <w:t>READING LIST</w:t>
      </w:r>
    </w:p>
    <w:p w14:paraId="5BF910A5" w14:textId="77777777" w:rsidR="00297957" w:rsidRPr="008062C8" w:rsidRDefault="00297957" w:rsidP="00297957">
      <w:pPr>
        <w:tabs>
          <w:tab w:val="clear" w:pos="284"/>
          <w:tab w:val="left" w:pos="708"/>
        </w:tabs>
        <w:spacing w:line="240" w:lineRule="auto"/>
        <w:rPr>
          <w:lang w:val="en-GB"/>
        </w:rPr>
      </w:pPr>
      <w:r w:rsidRPr="008062C8">
        <w:rPr>
          <w:lang w:val="en-GB"/>
        </w:rPr>
        <w:t xml:space="preserve">For attending students: lecture notes and the material </w:t>
      </w:r>
      <w:r>
        <w:rPr>
          <w:lang w:val="en-GB"/>
        </w:rPr>
        <w:t>specified</w:t>
      </w:r>
      <w:r w:rsidRPr="008062C8">
        <w:rPr>
          <w:lang w:val="en-GB"/>
        </w:rPr>
        <w:t xml:space="preserve"> during lectures.</w:t>
      </w:r>
    </w:p>
    <w:p w14:paraId="7D006CC5" w14:textId="77777777" w:rsidR="00297957" w:rsidRPr="005C616F" w:rsidRDefault="00297957" w:rsidP="00297957">
      <w:pPr>
        <w:tabs>
          <w:tab w:val="clear" w:pos="284"/>
          <w:tab w:val="left" w:pos="708"/>
        </w:tabs>
        <w:spacing w:line="240" w:lineRule="auto"/>
        <w:rPr>
          <w:lang w:val="en-GB"/>
        </w:rPr>
      </w:pPr>
      <w:r w:rsidRPr="008062C8">
        <w:rPr>
          <w:lang w:val="en-GB"/>
        </w:rPr>
        <w:t xml:space="preserve">For non-attending students, </w:t>
      </w:r>
      <w:r>
        <w:rPr>
          <w:lang w:val="en-GB"/>
        </w:rPr>
        <w:t>information</w:t>
      </w:r>
      <w:r w:rsidRPr="008062C8">
        <w:rPr>
          <w:lang w:val="en-GB"/>
        </w:rPr>
        <w:t xml:space="preserve"> will be provided </w:t>
      </w:r>
      <w:r>
        <w:rPr>
          <w:lang w:val="en-GB"/>
        </w:rPr>
        <w:t>through</w:t>
      </w:r>
      <w:r w:rsidRPr="008062C8">
        <w:rPr>
          <w:lang w:val="en-GB"/>
        </w:rPr>
        <w:t xml:space="preserve"> a notice on the </w:t>
      </w:r>
      <w:r>
        <w:rPr>
          <w:lang w:val="en-GB"/>
        </w:rPr>
        <w:t>lecturer</w:t>
      </w:r>
      <w:r w:rsidRPr="008062C8">
        <w:rPr>
          <w:lang w:val="en-GB"/>
        </w:rPr>
        <w:t>'s personal page</w:t>
      </w:r>
      <w:r>
        <w:rPr>
          <w:lang w:val="en-GB"/>
        </w:rPr>
        <w:t xml:space="preserve"> </w:t>
      </w:r>
      <w:r w:rsidRPr="008062C8">
        <w:rPr>
          <w:lang w:val="en-GB"/>
        </w:rPr>
        <w:t>on the website</w:t>
      </w:r>
      <w:r w:rsidRPr="005C616F">
        <w:rPr>
          <w:lang w:val="en-GB"/>
        </w:rPr>
        <w:t xml:space="preserve"> </w:t>
      </w:r>
      <w:hyperlink r:id="rId6" w:history="1">
        <w:r w:rsidRPr="005C616F">
          <w:rPr>
            <w:rStyle w:val="Collegamentoipertestuale"/>
            <w:rFonts w:ascii="Times New Roman" w:eastAsiaTheme="majorEastAsia" w:hAnsi="Times New Roman"/>
            <w:lang w:val="en-GB"/>
          </w:rPr>
          <w:t>http://docenti.unicatt.it/ita/antonino_barletta/</w:t>
        </w:r>
      </w:hyperlink>
      <w:r w:rsidRPr="005C616F">
        <w:rPr>
          <w:lang w:val="en-GB"/>
        </w:rPr>
        <w:t>.</w:t>
      </w:r>
    </w:p>
    <w:p w14:paraId="1459B1D0" w14:textId="77777777" w:rsidR="00297957" w:rsidRPr="005C616F" w:rsidRDefault="00297957" w:rsidP="00297957">
      <w:pPr>
        <w:tabs>
          <w:tab w:val="clear" w:pos="284"/>
          <w:tab w:val="left" w:pos="708"/>
        </w:tabs>
        <w:spacing w:line="240" w:lineRule="auto"/>
        <w:rPr>
          <w:lang w:val="en-GB"/>
        </w:rPr>
      </w:pPr>
    </w:p>
    <w:p w14:paraId="50072FEF" w14:textId="77777777" w:rsidR="00297957" w:rsidRPr="005C616F" w:rsidRDefault="00297957" w:rsidP="00297957">
      <w:pPr>
        <w:spacing w:before="240" w:after="120" w:line="220" w:lineRule="exact"/>
        <w:rPr>
          <w:b/>
          <w:i/>
          <w:sz w:val="18"/>
          <w:lang w:val="en-GB"/>
        </w:rPr>
      </w:pPr>
      <w:r w:rsidRPr="005C616F">
        <w:rPr>
          <w:b/>
          <w:i/>
          <w:sz w:val="18"/>
          <w:lang w:val="en-GB"/>
        </w:rPr>
        <w:t>TEACHING METHOD</w:t>
      </w:r>
    </w:p>
    <w:p w14:paraId="3EC6C695" w14:textId="77777777" w:rsidR="00297957" w:rsidRPr="005C616F" w:rsidRDefault="00297957" w:rsidP="00297957">
      <w:pPr>
        <w:pStyle w:val="Testo2"/>
        <w:ind w:firstLine="0"/>
        <w:rPr>
          <w:noProof w:val="0"/>
          <w:sz w:val="20"/>
          <w:lang w:val="en-GB"/>
        </w:rPr>
      </w:pPr>
      <w:r w:rsidRPr="008062C8">
        <w:rPr>
          <w:noProof w:val="0"/>
          <w:sz w:val="20"/>
          <w:lang w:val="en-GB"/>
        </w:rPr>
        <w:t xml:space="preserve">Frontal lessons in the classroom. To make the most of the lessons, students are </w:t>
      </w:r>
      <w:r>
        <w:rPr>
          <w:noProof w:val="0"/>
          <w:sz w:val="20"/>
          <w:lang w:val="en-GB"/>
        </w:rPr>
        <w:t>invited</w:t>
      </w:r>
      <w:r w:rsidRPr="008062C8">
        <w:rPr>
          <w:noProof w:val="0"/>
          <w:sz w:val="20"/>
          <w:lang w:val="en-GB"/>
        </w:rPr>
        <w:t xml:space="preserve"> to first acquire knowledge of the topics in the parts of the manual indicated on the Blackboard platform</w:t>
      </w:r>
      <w:r w:rsidRPr="005C616F">
        <w:rPr>
          <w:noProof w:val="0"/>
          <w:sz w:val="20"/>
          <w:lang w:val="en-GB"/>
        </w:rPr>
        <w:t>.</w:t>
      </w:r>
    </w:p>
    <w:p w14:paraId="6ABD050A" w14:textId="77777777" w:rsidR="00297957" w:rsidRPr="005C616F" w:rsidRDefault="00297957" w:rsidP="00297957">
      <w:pPr>
        <w:spacing w:before="240" w:after="120" w:line="220" w:lineRule="exact"/>
        <w:rPr>
          <w:b/>
          <w:i/>
          <w:sz w:val="18"/>
          <w:lang w:val="en-GB"/>
        </w:rPr>
      </w:pPr>
      <w:r w:rsidRPr="005C616F">
        <w:rPr>
          <w:b/>
          <w:i/>
          <w:sz w:val="18"/>
          <w:lang w:val="en-GB"/>
        </w:rPr>
        <w:lastRenderedPageBreak/>
        <w:t>ASSESSMENT METHOD AND CRITERIA</w:t>
      </w:r>
    </w:p>
    <w:p w14:paraId="70773256" w14:textId="77777777" w:rsidR="00297957" w:rsidRPr="005C616F" w:rsidRDefault="00297957" w:rsidP="00297957">
      <w:pPr>
        <w:rPr>
          <w:lang w:val="en-GB"/>
        </w:rPr>
      </w:pPr>
      <w:r w:rsidRPr="008062C8">
        <w:rPr>
          <w:rFonts w:ascii="Times New Roman" w:hAnsi="Times New Roman"/>
          <w:lang w:val="en-GB"/>
        </w:rPr>
        <w:t xml:space="preserve">The </w:t>
      </w:r>
      <w:r>
        <w:rPr>
          <w:rFonts w:ascii="Times New Roman" w:hAnsi="Times New Roman"/>
          <w:lang w:val="en-GB"/>
        </w:rPr>
        <w:t>assessment</w:t>
      </w:r>
      <w:r w:rsidRPr="008062C8">
        <w:rPr>
          <w:rFonts w:ascii="Times New Roman" w:hAnsi="Times New Roman"/>
          <w:lang w:val="en-GB"/>
        </w:rPr>
        <w:t xml:space="preserve"> will take place in a </w:t>
      </w:r>
      <w:r>
        <w:rPr>
          <w:rFonts w:ascii="Times New Roman" w:hAnsi="Times New Roman"/>
          <w:lang w:val="en-GB"/>
        </w:rPr>
        <w:t>single</w:t>
      </w:r>
      <w:r w:rsidRPr="008062C8">
        <w:rPr>
          <w:rFonts w:ascii="Times New Roman" w:hAnsi="Times New Roman"/>
          <w:lang w:val="en-GB"/>
        </w:rPr>
        <w:t xml:space="preserve"> and contextual </w:t>
      </w:r>
      <w:r>
        <w:rPr>
          <w:rFonts w:ascii="Times New Roman" w:hAnsi="Times New Roman"/>
          <w:lang w:val="en-GB"/>
        </w:rPr>
        <w:t>session</w:t>
      </w:r>
      <w:r w:rsidRPr="008062C8">
        <w:rPr>
          <w:rFonts w:ascii="Times New Roman" w:hAnsi="Times New Roman"/>
          <w:lang w:val="en-GB"/>
        </w:rPr>
        <w:t xml:space="preserve"> for the substanti</w:t>
      </w:r>
      <w:r>
        <w:rPr>
          <w:rFonts w:ascii="Times New Roman" w:hAnsi="Times New Roman"/>
          <w:lang w:val="en-GB"/>
        </w:rPr>
        <w:t>ve</w:t>
      </w:r>
      <w:r w:rsidRPr="008062C8">
        <w:rPr>
          <w:rFonts w:ascii="Times New Roman" w:hAnsi="Times New Roman"/>
          <w:lang w:val="en-GB"/>
        </w:rPr>
        <w:t xml:space="preserve"> and the procedural part of the course and </w:t>
      </w:r>
      <w:r>
        <w:rPr>
          <w:rFonts w:ascii="Times New Roman" w:hAnsi="Times New Roman"/>
          <w:lang w:val="en-GB"/>
        </w:rPr>
        <w:t>consists of</w:t>
      </w:r>
      <w:r w:rsidRPr="008062C8">
        <w:rPr>
          <w:rFonts w:ascii="Times New Roman" w:hAnsi="Times New Roman"/>
          <w:lang w:val="en-GB"/>
        </w:rPr>
        <w:t xml:space="preserve"> a written test with three open</w:t>
      </w:r>
      <w:r>
        <w:rPr>
          <w:rFonts w:ascii="Times New Roman" w:hAnsi="Times New Roman"/>
          <w:lang w:val="en-GB"/>
        </w:rPr>
        <w:t>-ended</w:t>
      </w:r>
      <w:r w:rsidRPr="008062C8">
        <w:rPr>
          <w:rFonts w:ascii="Times New Roman" w:hAnsi="Times New Roman"/>
          <w:lang w:val="en-GB"/>
        </w:rPr>
        <w:t xml:space="preserve"> questions (two questions on the substanti</w:t>
      </w:r>
      <w:r>
        <w:rPr>
          <w:rFonts w:ascii="Times New Roman" w:hAnsi="Times New Roman"/>
          <w:lang w:val="en-GB"/>
        </w:rPr>
        <w:t>ve</w:t>
      </w:r>
      <w:r w:rsidRPr="008062C8">
        <w:rPr>
          <w:rFonts w:ascii="Times New Roman" w:hAnsi="Times New Roman"/>
          <w:lang w:val="en-GB"/>
        </w:rPr>
        <w:t xml:space="preserve"> part, one on the procedural part).</w:t>
      </w:r>
      <w:r>
        <w:rPr>
          <w:rFonts w:ascii="Times New Roman" w:hAnsi="Times New Roman"/>
          <w:lang w:val="en-GB"/>
        </w:rPr>
        <w:t xml:space="preserve"> The students’ answers will be assessed based on criteria such as</w:t>
      </w:r>
      <w:r w:rsidRPr="005C616F">
        <w:rPr>
          <w:rFonts w:ascii="Times New Roman" w:hAnsi="Times New Roman"/>
          <w:lang w:val="en-GB"/>
        </w:rPr>
        <w:t xml:space="preserve"> the</w:t>
      </w:r>
      <w:r>
        <w:rPr>
          <w:rFonts w:ascii="Times New Roman" w:hAnsi="Times New Roman"/>
          <w:lang w:val="en-GB"/>
        </w:rPr>
        <w:t>ir</w:t>
      </w:r>
      <w:r w:rsidRPr="005C616F">
        <w:rPr>
          <w:rFonts w:ascii="Times New Roman" w:hAnsi="Times New Roman"/>
          <w:lang w:val="en-GB"/>
        </w:rPr>
        <w:t xml:space="preserve"> critical ability in organi</w:t>
      </w:r>
      <w:r>
        <w:rPr>
          <w:rFonts w:ascii="Times New Roman" w:hAnsi="Times New Roman"/>
          <w:lang w:val="en-GB"/>
        </w:rPr>
        <w:t>s</w:t>
      </w:r>
      <w:r w:rsidRPr="005C616F">
        <w:rPr>
          <w:rFonts w:ascii="Times New Roman" w:hAnsi="Times New Roman"/>
          <w:lang w:val="en-GB"/>
        </w:rPr>
        <w:t xml:space="preserve">ing the presentation of the topics learned and the use of appropriate terminology. </w:t>
      </w:r>
      <w:r>
        <w:rPr>
          <w:rFonts w:ascii="Times New Roman" w:hAnsi="Times New Roman"/>
          <w:lang w:val="en-GB"/>
        </w:rPr>
        <w:t xml:space="preserve"> </w:t>
      </w:r>
      <w:r w:rsidRPr="005C616F">
        <w:rPr>
          <w:rFonts w:ascii="Times New Roman" w:hAnsi="Times New Roman"/>
          <w:lang w:val="en-GB"/>
        </w:rPr>
        <w:t xml:space="preserve">In particular, the </w:t>
      </w:r>
      <w:r>
        <w:rPr>
          <w:rFonts w:ascii="Times New Roman" w:hAnsi="Times New Roman"/>
          <w:lang w:val="en-GB"/>
        </w:rPr>
        <w:t xml:space="preserve">test will verify the </w:t>
      </w:r>
      <w:r w:rsidRPr="005C616F">
        <w:rPr>
          <w:rFonts w:ascii="Times New Roman" w:hAnsi="Times New Roman"/>
          <w:lang w:val="en-GB"/>
        </w:rPr>
        <w:t>basic notions acquired and the knowledge of the main issues underlying the reference discipline, as well as the ability to argue possible solutions regarding the profiles indicated for the test</w:t>
      </w:r>
      <w:r w:rsidRPr="005C616F">
        <w:rPr>
          <w:lang w:val="en-GB"/>
        </w:rPr>
        <w:t>.</w:t>
      </w:r>
    </w:p>
    <w:p w14:paraId="27D3080D" w14:textId="77777777" w:rsidR="00297957" w:rsidRPr="005C616F" w:rsidRDefault="00297957" w:rsidP="00297957">
      <w:pPr>
        <w:spacing w:before="240" w:after="120"/>
        <w:rPr>
          <w:b/>
          <w:i/>
          <w:sz w:val="18"/>
          <w:lang w:val="en-GB"/>
        </w:rPr>
      </w:pPr>
      <w:r w:rsidRPr="005C616F">
        <w:rPr>
          <w:b/>
          <w:i/>
          <w:sz w:val="18"/>
          <w:lang w:val="en-GB"/>
        </w:rPr>
        <w:t>NOTES AND PREREQUISITES</w:t>
      </w:r>
    </w:p>
    <w:p w14:paraId="65E8A978" w14:textId="77777777" w:rsidR="00297957" w:rsidRPr="005C616F" w:rsidRDefault="00297957" w:rsidP="00297957">
      <w:pPr>
        <w:rPr>
          <w:lang w:val="en-GB"/>
        </w:rPr>
      </w:pPr>
      <w:r w:rsidRPr="005C616F">
        <w:rPr>
          <w:rFonts w:ascii="Times New Roman" w:hAnsi="Times New Roman"/>
          <w:lang w:val="en-GB"/>
        </w:rPr>
        <w:t xml:space="preserve">Prerequisite for the student is a basic knowledge of </w:t>
      </w:r>
      <w:r w:rsidRPr="00B71D88">
        <w:rPr>
          <w:lang w:val="en-GB"/>
        </w:rPr>
        <w:t>private law and civil procedural law</w:t>
      </w:r>
      <w:r w:rsidRPr="005C616F">
        <w:rPr>
          <w:lang w:val="en-GB"/>
        </w:rPr>
        <w:t>.</w:t>
      </w:r>
    </w:p>
    <w:p w14:paraId="29BA5D20" w14:textId="77777777" w:rsidR="00297957" w:rsidRPr="005C616F" w:rsidRDefault="00297957" w:rsidP="00297957">
      <w:pPr>
        <w:spacing w:before="240" w:after="120"/>
        <w:rPr>
          <w:lang w:val="en-GB"/>
        </w:rPr>
      </w:pPr>
      <w:r w:rsidRPr="005C616F">
        <w:rPr>
          <w:lang w:val="en-GB"/>
        </w:rPr>
        <w:t xml:space="preserve">Information on office hours available on the </w:t>
      </w:r>
      <w:r w:rsidRPr="00EF07E4">
        <w:rPr>
          <w:lang w:val="en-GB"/>
        </w:rPr>
        <w:t>teacher's</w:t>
      </w:r>
      <w:r w:rsidRPr="005C616F">
        <w:rPr>
          <w:lang w:val="en-GB"/>
        </w:rPr>
        <w:t xml:space="preserve"> personal page at </w:t>
      </w:r>
      <w:hyperlink r:id="rId7" w:history="1">
        <w:r w:rsidRPr="005C616F">
          <w:rPr>
            <w:rStyle w:val="Collegamentoipertestuale"/>
            <w:lang w:val="en-GB"/>
          </w:rPr>
          <w:t>http://docenti.unicatt.it/</w:t>
        </w:r>
      </w:hyperlink>
      <w:r w:rsidRPr="005C616F">
        <w:rPr>
          <w:lang w:val="en-GB"/>
        </w:rPr>
        <w:t>.</w:t>
      </w:r>
    </w:p>
    <w:p w14:paraId="1479E38F" w14:textId="2BB11E67" w:rsidR="008E6E63" w:rsidRPr="00297957" w:rsidRDefault="008E6E63" w:rsidP="008E6E63">
      <w:pPr>
        <w:tabs>
          <w:tab w:val="clear" w:pos="284"/>
          <w:tab w:val="left" w:pos="708"/>
        </w:tabs>
        <w:spacing w:line="220" w:lineRule="exact"/>
        <w:rPr>
          <w:lang w:val="en-GB"/>
        </w:rPr>
      </w:pPr>
    </w:p>
    <w:p w14:paraId="231B9A9A" w14:textId="77777777" w:rsidR="00297957" w:rsidRPr="00297957" w:rsidRDefault="00297957" w:rsidP="008E6E63">
      <w:pPr>
        <w:spacing w:before="240" w:after="120"/>
        <w:rPr>
          <w:lang w:val="en-US"/>
        </w:rPr>
      </w:pPr>
    </w:p>
    <w:sectPr w:rsidR="00297957" w:rsidRPr="00297957" w:rsidSect="00AE75B9">
      <w:pgSz w:w="11906" w:h="16838"/>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9"/>
    <w:rsid w:val="00143D2F"/>
    <w:rsid w:val="00297957"/>
    <w:rsid w:val="002A28E5"/>
    <w:rsid w:val="002B0FCB"/>
    <w:rsid w:val="002F0440"/>
    <w:rsid w:val="00384F92"/>
    <w:rsid w:val="004766C4"/>
    <w:rsid w:val="004A6BB8"/>
    <w:rsid w:val="00674222"/>
    <w:rsid w:val="007626E8"/>
    <w:rsid w:val="00895A13"/>
    <w:rsid w:val="008E2CA4"/>
    <w:rsid w:val="008E2F55"/>
    <w:rsid w:val="008E6E63"/>
    <w:rsid w:val="008F1285"/>
    <w:rsid w:val="008F71E3"/>
    <w:rsid w:val="00A7105B"/>
    <w:rsid w:val="00A81D8E"/>
    <w:rsid w:val="00A96184"/>
    <w:rsid w:val="00AE75B9"/>
    <w:rsid w:val="00CF30FC"/>
    <w:rsid w:val="00D11F44"/>
    <w:rsid w:val="00D379CE"/>
    <w:rsid w:val="00D57918"/>
    <w:rsid w:val="00E14793"/>
    <w:rsid w:val="00EA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24A"/>
  <w15:chartTrackingRefBased/>
  <w15:docId w15:val="{2E5EC1D9-668C-4ACB-857F-B0BE2FB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5B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E75B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E75B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E75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75B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E75B9"/>
    <w:rPr>
      <w:rFonts w:ascii="Times" w:eastAsia="Times New Roman" w:hAnsi="Times" w:cs="Times New Roman"/>
      <w:smallCaps/>
      <w:noProof/>
      <w:sz w:val="18"/>
      <w:szCs w:val="20"/>
      <w:lang w:eastAsia="it-IT"/>
    </w:rPr>
  </w:style>
  <w:style w:type="paragraph" w:customStyle="1" w:styleId="Testo2">
    <w:name w:val="Testo 2"/>
    <w:rsid w:val="00AE75B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E75B9"/>
    <w:rPr>
      <w:color w:val="0000FF"/>
      <w:u w:val="single"/>
    </w:rPr>
  </w:style>
  <w:style w:type="character" w:customStyle="1" w:styleId="Titolo3Carattere">
    <w:name w:val="Titolo 3 Carattere"/>
    <w:basedOn w:val="Carpredefinitoparagrafo"/>
    <w:link w:val="Titolo3"/>
    <w:uiPriority w:val="9"/>
    <w:semiHidden/>
    <w:rsid w:val="00AE75B9"/>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895A1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95A13"/>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895A13"/>
    <w:rPr>
      <w:color w:val="954F72" w:themeColor="followedHyperlink"/>
      <w:u w:val="single"/>
    </w:rPr>
  </w:style>
  <w:style w:type="character" w:customStyle="1" w:styleId="Menzionenonrisolta1">
    <w:name w:val="Menzione non risolta1"/>
    <w:basedOn w:val="Carpredefinitoparagrafo"/>
    <w:uiPriority w:val="99"/>
    <w:semiHidden/>
    <w:unhideWhenUsed/>
    <w:rsid w:val="00895A13"/>
    <w:rPr>
      <w:color w:val="605E5C"/>
      <w:shd w:val="clear" w:color="auto" w:fill="E1DFDD"/>
    </w:rPr>
  </w:style>
  <w:style w:type="paragraph" w:styleId="Testonormale">
    <w:name w:val="Plain Text"/>
    <w:basedOn w:val="Normale"/>
    <w:link w:val="TestonormaleCarattere"/>
    <w:rsid w:val="00674222"/>
    <w:pPr>
      <w:tabs>
        <w:tab w:val="clear" w:pos="284"/>
      </w:tabs>
      <w:spacing w:line="240" w:lineRule="auto"/>
      <w:jc w:val="left"/>
    </w:pPr>
    <w:rPr>
      <w:rFonts w:ascii="Courier New" w:hAnsi="Courier New" w:cs="Courier New"/>
    </w:rPr>
  </w:style>
  <w:style w:type="character" w:customStyle="1" w:styleId="TestonormaleCarattere">
    <w:name w:val="Testo normale Carattere"/>
    <w:basedOn w:val="Carpredefinitoparagrafo"/>
    <w:link w:val="Testonormale"/>
    <w:rsid w:val="0067422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4155">
      <w:bodyDiv w:val="1"/>
      <w:marLeft w:val="0"/>
      <w:marRight w:val="0"/>
      <w:marTop w:val="0"/>
      <w:marBottom w:val="0"/>
      <w:divBdr>
        <w:top w:val="none" w:sz="0" w:space="0" w:color="auto"/>
        <w:left w:val="none" w:sz="0" w:space="0" w:color="auto"/>
        <w:bottom w:val="none" w:sz="0" w:space="0" w:color="auto"/>
        <w:right w:val="none" w:sz="0" w:space="0" w:color="auto"/>
      </w:divBdr>
    </w:div>
    <w:div w:id="1417166871">
      <w:bodyDiv w:val="1"/>
      <w:marLeft w:val="0"/>
      <w:marRight w:val="0"/>
      <w:marTop w:val="0"/>
      <w:marBottom w:val="0"/>
      <w:divBdr>
        <w:top w:val="none" w:sz="0" w:space="0" w:color="auto"/>
        <w:left w:val="none" w:sz="0" w:space="0" w:color="auto"/>
        <w:bottom w:val="none" w:sz="0" w:space="0" w:color="auto"/>
        <w:right w:val="none" w:sz="0" w:space="0" w:color="auto"/>
      </w:divBdr>
    </w:div>
    <w:div w:id="20278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enti.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ita/antonino_barletta/" TargetMode="External"/><Relationship Id="rId5" Type="http://schemas.openxmlformats.org/officeDocument/2006/relationships/hyperlink" Target="http://docenti.unicatt.it/" TargetMode="External"/><Relationship Id="rId4" Type="http://schemas.openxmlformats.org/officeDocument/2006/relationships/hyperlink" Target="http://docenti.unicatt.it/ita/claudio_frigeni/"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Frigeni Claudio (claudio.frigeni)</dc:creator>
  <cp:keywords/>
  <dc:description/>
  <cp:lastModifiedBy>Cappa Marzia</cp:lastModifiedBy>
  <cp:revision>7</cp:revision>
  <dcterms:created xsi:type="dcterms:W3CDTF">2023-05-30T09:12:00Z</dcterms:created>
  <dcterms:modified xsi:type="dcterms:W3CDTF">2024-01-19T09:10:00Z</dcterms:modified>
</cp:coreProperties>
</file>