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5E5" w14:textId="762F0980" w:rsidR="00C67113" w:rsidRPr="00D10B71" w:rsidRDefault="008B0A8C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2"/>
          <w:szCs w:val="22"/>
          <w:lang w:val="en-US"/>
        </w:rPr>
      </w:pPr>
      <w:r w:rsidRPr="00D10B71">
        <w:rPr>
          <w:b/>
          <w:noProof/>
          <w:sz w:val="22"/>
          <w:szCs w:val="22"/>
          <w:lang w:val="en-US"/>
        </w:rPr>
        <w:t>Consul</w:t>
      </w:r>
      <w:r w:rsidR="00235231" w:rsidRPr="00D10B71">
        <w:rPr>
          <w:b/>
          <w:noProof/>
          <w:sz w:val="22"/>
          <w:szCs w:val="22"/>
          <w:lang w:val="en-US"/>
        </w:rPr>
        <w:t>ting in Banking</w:t>
      </w:r>
    </w:p>
    <w:p w14:paraId="2FF3C5BB" w14:textId="34A1F65D" w:rsidR="00C67113" w:rsidRPr="00D10B71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lang w:val="en-US"/>
        </w:rPr>
      </w:pPr>
      <w:r w:rsidRPr="00D10B71">
        <w:rPr>
          <w:smallCaps/>
          <w:noProof/>
          <w:lang w:val="en-US"/>
        </w:rPr>
        <w:t>Prof</w:t>
      </w:r>
      <w:r w:rsidR="009402C1" w:rsidRPr="00D10B71">
        <w:rPr>
          <w:smallCaps/>
          <w:noProof/>
          <w:lang w:val="en-US"/>
        </w:rPr>
        <w:t xml:space="preserve">. </w:t>
      </w:r>
      <w:r w:rsidR="00E735CC" w:rsidRPr="00D10B71">
        <w:rPr>
          <w:smallCaps/>
          <w:noProof/>
          <w:lang w:val="en-US"/>
        </w:rPr>
        <w:t>S</w:t>
      </w:r>
      <w:r w:rsidR="008B0A8C" w:rsidRPr="00D10B71">
        <w:rPr>
          <w:smallCaps/>
          <w:noProof/>
          <w:lang w:val="en-US"/>
        </w:rPr>
        <w:t>tefano Monferrà</w:t>
      </w:r>
    </w:p>
    <w:p w14:paraId="2C636695" w14:textId="77777777" w:rsidR="00B23A6B" w:rsidRPr="00D10B71" w:rsidRDefault="00B23A6B" w:rsidP="00B23A6B">
      <w:pPr>
        <w:spacing w:before="120"/>
        <w:rPr>
          <w:b/>
          <w:i/>
          <w:sz w:val="18"/>
          <w:szCs w:val="18"/>
          <w:lang w:val="en-US"/>
        </w:rPr>
      </w:pPr>
    </w:p>
    <w:p w14:paraId="1B80911B" w14:textId="77777777" w:rsidR="004A37E2" w:rsidRPr="004A37E2" w:rsidRDefault="004A37E2" w:rsidP="004A37E2">
      <w:pPr>
        <w:tabs>
          <w:tab w:val="clear" w:pos="284"/>
        </w:tabs>
        <w:spacing w:before="240" w:after="120" w:line="240" w:lineRule="auto"/>
        <w:jc w:val="left"/>
        <w:rPr>
          <w:b/>
          <w:i/>
          <w:sz w:val="18"/>
          <w:lang w:val="en-GB"/>
        </w:rPr>
      </w:pPr>
      <w:r w:rsidRPr="004A37E2">
        <w:rPr>
          <w:b/>
          <w:i/>
          <w:sz w:val="18"/>
          <w:lang w:val="en-GB"/>
        </w:rPr>
        <w:t>COURSE AIMS AND EXPECTED LEARNING OUTCOMES</w:t>
      </w:r>
    </w:p>
    <w:p w14:paraId="247867A8" w14:textId="67466CD2" w:rsidR="00C67113" w:rsidRDefault="004A37E2" w:rsidP="00052BA9">
      <w:r w:rsidRPr="004A37E2">
        <w:rPr>
          <w:lang w:val="en-GB"/>
        </w:rPr>
        <w:t>The course aims to i</w:t>
      </w:r>
      <w:r>
        <w:rPr>
          <w:lang w:val="en-GB"/>
        </w:rPr>
        <w:t xml:space="preserve">ntroduce students to the field of the banking and finance advisory sector. </w:t>
      </w:r>
      <w:r w:rsidRPr="004A37E2">
        <w:rPr>
          <w:lang w:val="en-GB"/>
        </w:rPr>
        <w:t>The goal is to provide students with a practical a</w:t>
      </w:r>
      <w:r>
        <w:rPr>
          <w:lang w:val="en-GB"/>
        </w:rPr>
        <w:t>pproach to the way of work</w:t>
      </w:r>
      <w:r w:rsidR="00F34AB4">
        <w:rPr>
          <w:lang w:val="en-GB"/>
        </w:rPr>
        <w:t>ing</w:t>
      </w:r>
      <w:r>
        <w:rPr>
          <w:lang w:val="en-GB"/>
        </w:rPr>
        <w:t xml:space="preserve"> and reason</w:t>
      </w:r>
      <w:r w:rsidR="00F34AB4">
        <w:rPr>
          <w:lang w:val="en-GB"/>
        </w:rPr>
        <w:t>ing</w:t>
      </w:r>
      <w:r>
        <w:rPr>
          <w:lang w:val="en-GB"/>
        </w:rPr>
        <w:t xml:space="preserve"> in a consultancy firm</w:t>
      </w:r>
      <w:r w:rsidR="00F34AB4">
        <w:rPr>
          <w:lang w:val="en-GB"/>
        </w:rPr>
        <w:t xml:space="preserve">, by studying operational processes and topics specific to the banking sector. </w:t>
      </w:r>
      <w:r w:rsidR="00F34AB4" w:rsidRPr="00052BA9">
        <w:rPr>
          <w:lang w:val="en-GB"/>
        </w:rPr>
        <w:t xml:space="preserve">Further, in the aim to apply such approach to </w:t>
      </w:r>
      <w:r w:rsidR="00052BA9" w:rsidRPr="00052BA9">
        <w:rPr>
          <w:lang w:val="en-GB"/>
        </w:rPr>
        <w:t>r</w:t>
      </w:r>
      <w:r w:rsidR="00052BA9">
        <w:rPr>
          <w:lang w:val="en-GB"/>
        </w:rPr>
        <w:t>eal-life business cases proposed by consultancy firms (partnered with the degree program), the course will be complemented with in-class analyses and simulations.</w:t>
      </w:r>
    </w:p>
    <w:p w14:paraId="13C99686" w14:textId="37A04B2D" w:rsidR="00052BA9" w:rsidRDefault="00052BA9" w:rsidP="00052BA9"/>
    <w:p w14:paraId="1B70D58A" w14:textId="743A0678" w:rsidR="00052BA9" w:rsidRDefault="00052BA9" w:rsidP="00052BA9">
      <w:pPr>
        <w:rPr>
          <w:szCs w:val="28"/>
          <w:lang w:val="en-GB"/>
        </w:rPr>
      </w:pPr>
      <w:r w:rsidRPr="00A46F2B">
        <w:rPr>
          <w:szCs w:val="28"/>
          <w:lang w:val="en-GB"/>
        </w:rPr>
        <w:t>At the end of this course the student will be able to</w:t>
      </w:r>
      <w:r>
        <w:rPr>
          <w:szCs w:val="28"/>
          <w:lang w:val="en-GB"/>
        </w:rPr>
        <w:t>:</w:t>
      </w:r>
    </w:p>
    <w:p w14:paraId="71170D3F" w14:textId="39DE844E" w:rsidR="00052BA9" w:rsidRDefault="00052BA9" w:rsidP="00052BA9">
      <w:pPr>
        <w:rPr>
          <w:szCs w:val="28"/>
          <w:lang w:val="en-GB"/>
        </w:rPr>
      </w:pPr>
      <w:r>
        <w:rPr>
          <w:szCs w:val="28"/>
          <w:lang w:val="en-GB"/>
        </w:rPr>
        <w:t>- understand the way of functioning and the operational logic of a consultancy firm;</w:t>
      </w:r>
    </w:p>
    <w:p w14:paraId="6E439375" w14:textId="2886745C" w:rsidR="00052BA9" w:rsidRDefault="00052BA9" w:rsidP="00052BA9">
      <w:pPr>
        <w:rPr>
          <w:szCs w:val="28"/>
          <w:lang w:val="en-GB"/>
        </w:rPr>
      </w:pPr>
      <w:r>
        <w:rPr>
          <w:szCs w:val="28"/>
          <w:lang w:val="en-GB"/>
        </w:rPr>
        <w:t>- develop a consultancy project following the procedures employed by banking sector’s consultancy firms;</w:t>
      </w:r>
    </w:p>
    <w:p w14:paraId="15DCCBBE" w14:textId="643B1793" w:rsidR="00052BA9" w:rsidRDefault="00052BA9" w:rsidP="00052BA9">
      <w:pPr>
        <w:rPr>
          <w:szCs w:val="28"/>
          <w:lang w:val="en-GB"/>
        </w:rPr>
      </w:pPr>
      <w:r>
        <w:rPr>
          <w:szCs w:val="28"/>
          <w:lang w:val="en-GB"/>
        </w:rPr>
        <w:t>- analyse the main themes and issues, in the banking sector, which typically require the support of a consultancy firm;</w:t>
      </w:r>
    </w:p>
    <w:p w14:paraId="58E0D7D3" w14:textId="63C431A5" w:rsidR="00BD1ECF" w:rsidRPr="00052BA9" w:rsidRDefault="00052BA9" w:rsidP="00052BA9">
      <w:pPr>
        <w:rPr>
          <w:lang w:val="en-GB"/>
        </w:rPr>
      </w:pPr>
      <w:r>
        <w:rPr>
          <w:szCs w:val="28"/>
          <w:lang w:val="en-GB"/>
        </w:rPr>
        <w:t>- develop and test the acquired capabilities and skills by realising consultancy projects focused on banking issues under the supervision of major consultancy firms’ representatives (</w:t>
      </w:r>
      <w:r w:rsidRPr="00052BA9">
        <w:rPr>
          <w:szCs w:val="28"/>
          <w:lang w:val="en-GB"/>
        </w:rPr>
        <w:t>PWC, KPMG, Deloitte, Accenture, C2Partner, E&amp;Y</w:t>
      </w:r>
      <w:r>
        <w:rPr>
          <w:szCs w:val="28"/>
          <w:lang w:val="en-GB"/>
        </w:rPr>
        <w:t>,</w:t>
      </w:r>
      <w:r w:rsidRPr="00052BA9">
        <w:rPr>
          <w:szCs w:val="28"/>
          <w:lang w:val="en-GB"/>
        </w:rPr>
        <w:t xml:space="preserve"> e</w:t>
      </w:r>
      <w:r>
        <w:rPr>
          <w:szCs w:val="28"/>
          <w:lang w:val="en-GB"/>
        </w:rPr>
        <w:t>t</w:t>
      </w:r>
      <w:r w:rsidRPr="00052BA9">
        <w:rPr>
          <w:szCs w:val="28"/>
          <w:lang w:val="en-GB"/>
        </w:rPr>
        <w:t>c..)</w:t>
      </w:r>
    </w:p>
    <w:p w14:paraId="00100B3C" w14:textId="77777777" w:rsidR="00052BA9" w:rsidRPr="00052BA9" w:rsidRDefault="00052BA9" w:rsidP="00052BA9">
      <w:pPr>
        <w:tabs>
          <w:tab w:val="clear" w:pos="284"/>
        </w:tabs>
        <w:spacing w:before="240" w:after="120" w:line="240" w:lineRule="auto"/>
        <w:jc w:val="left"/>
        <w:rPr>
          <w:b/>
          <w:sz w:val="18"/>
        </w:rPr>
      </w:pPr>
      <w:r w:rsidRPr="00052BA9">
        <w:rPr>
          <w:b/>
          <w:i/>
          <w:sz w:val="18"/>
        </w:rPr>
        <w:t>COURSE CONTENTS</w:t>
      </w:r>
    </w:p>
    <w:p w14:paraId="65959975" w14:textId="2D9827EF" w:rsidR="00320725" w:rsidRDefault="00052BA9" w:rsidP="00320725">
      <w:pPr>
        <w:tabs>
          <w:tab w:val="clear" w:pos="284"/>
          <w:tab w:val="left" w:pos="-2977"/>
        </w:tabs>
        <w:jc w:val="left"/>
        <w:rPr>
          <w:lang w:val="en-GB"/>
        </w:rPr>
      </w:pPr>
      <w:r w:rsidRPr="00052BA9">
        <w:rPr>
          <w:lang w:val="en-GB"/>
        </w:rPr>
        <w:t>The course explores the f</w:t>
      </w:r>
      <w:r>
        <w:rPr>
          <w:lang w:val="en-GB"/>
        </w:rPr>
        <w:t>ollowing topics:</w:t>
      </w:r>
    </w:p>
    <w:p w14:paraId="4140C8B3" w14:textId="38620B40" w:rsidR="00052BA9" w:rsidRDefault="00052BA9" w:rsidP="00320725">
      <w:pPr>
        <w:tabs>
          <w:tab w:val="clear" w:pos="284"/>
          <w:tab w:val="left" w:pos="-2977"/>
        </w:tabs>
        <w:jc w:val="left"/>
        <w:rPr>
          <w:lang w:val="en-GB"/>
        </w:rPr>
      </w:pPr>
      <w:r>
        <w:rPr>
          <w:lang w:val="en-GB"/>
        </w:rPr>
        <w:t>- career paths in the major consultancy firms;</w:t>
      </w:r>
    </w:p>
    <w:p w14:paraId="2456581D" w14:textId="209DD839" w:rsidR="00052BA9" w:rsidRDefault="00052BA9" w:rsidP="00320725">
      <w:pPr>
        <w:tabs>
          <w:tab w:val="clear" w:pos="284"/>
          <w:tab w:val="left" w:pos="-2977"/>
        </w:tabs>
        <w:jc w:val="left"/>
        <w:rPr>
          <w:lang w:val="en-GB"/>
        </w:rPr>
      </w:pPr>
      <w:r>
        <w:rPr>
          <w:lang w:val="en-GB"/>
        </w:rPr>
        <w:t>- logic and processes at the foundation of the consultancy activity in the banking sector;</w:t>
      </w:r>
    </w:p>
    <w:p w14:paraId="627CB79B" w14:textId="05D3AD0B" w:rsidR="00052BA9" w:rsidRDefault="00052BA9" w:rsidP="00320725">
      <w:pPr>
        <w:tabs>
          <w:tab w:val="clear" w:pos="284"/>
          <w:tab w:val="left" w:pos="-2977"/>
        </w:tabs>
        <w:jc w:val="left"/>
        <w:rPr>
          <w:lang w:val="en-GB"/>
        </w:rPr>
      </w:pPr>
      <w:r>
        <w:rPr>
          <w:lang w:val="en-GB"/>
        </w:rPr>
        <w:t xml:space="preserve">- organizational structures of the major </w:t>
      </w:r>
      <w:r>
        <w:rPr>
          <w:lang w:val="en-GB"/>
        </w:rPr>
        <w:t>consultancy firms</w:t>
      </w:r>
      <w:r>
        <w:rPr>
          <w:lang w:val="en-GB"/>
        </w:rPr>
        <w:t xml:space="preserve"> operating in Italy:</w:t>
      </w:r>
    </w:p>
    <w:p w14:paraId="24A23F83" w14:textId="6EA13358" w:rsidR="00052BA9" w:rsidRDefault="00052BA9" w:rsidP="00320725">
      <w:pPr>
        <w:tabs>
          <w:tab w:val="clear" w:pos="284"/>
          <w:tab w:val="left" w:pos="-2977"/>
        </w:tabs>
        <w:jc w:val="left"/>
        <w:rPr>
          <w:lang w:val="en-GB"/>
        </w:rPr>
      </w:pPr>
      <w:r>
        <w:rPr>
          <w:lang w:val="en-GB"/>
        </w:rPr>
        <w:t>- analysis of those banking issues which are more relevant for the consultancy activity (</w:t>
      </w:r>
      <w:r w:rsidRPr="00052BA9">
        <w:rPr>
          <w:lang w:val="en-GB"/>
        </w:rPr>
        <w:t>credit risk management, retail banking</w:t>
      </w:r>
      <w:r>
        <w:rPr>
          <w:lang w:val="en-GB"/>
        </w:rPr>
        <w:t xml:space="preserve">, regulation on </w:t>
      </w:r>
      <w:r w:rsidRPr="00052BA9">
        <w:rPr>
          <w:lang w:val="en-GB"/>
        </w:rPr>
        <w:t>absorption of funds</w:t>
      </w:r>
      <w:r>
        <w:rPr>
          <w:lang w:val="en-GB"/>
        </w:rPr>
        <w:t xml:space="preserve"> and credit pricing, pri</w:t>
      </w:r>
      <w:r w:rsidR="00C27510">
        <w:rPr>
          <w:lang w:val="en-GB"/>
        </w:rPr>
        <w:t>v</w:t>
      </w:r>
      <w:r>
        <w:rPr>
          <w:lang w:val="en-GB"/>
        </w:rPr>
        <w:t>ate banking, etc…)</w:t>
      </w:r>
    </w:p>
    <w:p w14:paraId="3BF3F191" w14:textId="77777777" w:rsidR="00205D29" w:rsidRDefault="00205D29" w:rsidP="00205D29">
      <w:pPr>
        <w:tabs>
          <w:tab w:val="clear" w:pos="284"/>
          <w:tab w:val="left" w:pos="-2977"/>
        </w:tabs>
        <w:jc w:val="left"/>
        <w:rPr>
          <w:lang w:val="en-GB"/>
        </w:rPr>
      </w:pPr>
      <w:r>
        <w:rPr>
          <w:lang w:val="en-GB"/>
        </w:rPr>
        <w:t>- analysis and discussion of business cases presented by consultancy firms.</w:t>
      </w:r>
    </w:p>
    <w:p w14:paraId="3D048B8A" w14:textId="237E3640" w:rsidR="007A2CD6" w:rsidRPr="00205D29" w:rsidRDefault="00170539" w:rsidP="00205D29">
      <w:pPr>
        <w:tabs>
          <w:tab w:val="clear" w:pos="284"/>
          <w:tab w:val="left" w:pos="-2977"/>
        </w:tabs>
        <w:jc w:val="left"/>
        <w:rPr>
          <w:lang w:val="en-GB"/>
        </w:rPr>
      </w:pPr>
      <w:r w:rsidRPr="00205D29">
        <w:rPr>
          <w:lang w:val="en-GB"/>
        </w:rPr>
        <w:t xml:space="preserve"> </w:t>
      </w:r>
    </w:p>
    <w:p w14:paraId="01FB2DAC" w14:textId="36D18882" w:rsidR="009F3270" w:rsidRPr="00D10B71" w:rsidRDefault="00205D29" w:rsidP="00C00747">
      <w:pPr>
        <w:keepNext/>
        <w:spacing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READING LIST</w:t>
      </w:r>
    </w:p>
    <w:p w14:paraId="0EDBDB71" w14:textId="5B681C10" w:rsidR="00205D29" w:rsidRPr="00205D29" w:rsidRDefault="00205D29" w:rsidP="00C27510">
      <w:pPr>
        <w:pStyle w:val="Paragrafoelenco"/>
        <w:keepNext/>
        <w:spacing w:after="120" w:line="240" w:lineRule="auto"/>
        <w:ind w:left="0"/>
        <w:rPr>
          <w:noProof/>
          <w:lang w:val="en-GB"/>
        </w:rPr>
      </w:pPr>
      <w:r w:rsidRPr="00205D29">
        <w:rPr>
          <w:noProof/>
          <w:lang w:val="en-GB"/>
        </w:rPr>
        <w:t>The textbook will b</w:t>
      </w:r>
      <w:r>
        <w:rPr>
          <w:noProof/>
          <w:lang w:val="en-GB"/>
        </w:rPr>
        <w:t>e indicated by the teacher during the lessons.</w:t>
      </w:r>
    </w:p>
    <w:p w14:paraId="23EF4DBF" w14:textId="1AC213A9" w:rsidR="005F26A7" w:rsidRPr="00C27510" w:rsidRDefault="00205D29" w:rsidP="00205D29">
      <w:pPr>
        <w:tabs>
          <w:tab w:val="clear" w:pos="284"/>
        </w:tabs>
        <w:spacing w:line="220" w:lineRule="atLeast"/>
        <w:rPr>
          <w:noProof/>
          <w:sz w:val="18"/>
          <w:szCs w:val="18"/>
          <w:lang w:val="en-GB"/>
        </w:rPr>
      </w:pPr>
      <w:r w:rsidRPr="00205D29">
        <w:rPr>
          <w:noProof/>
          <w:lang w:val="en-GB"/>
        </w:rPr>
        <w:t xml:space="preserve">During the lessons, all the </w:t>
      </w:r>
      <w:r>
        <w:rPr>
          <w:noProof/>
          <w:lang w:val="en-GB"/>
        </w:rPr>
        <w:t>teaching material useful to prepare the exam will be delivered, as well as the notes and integrations to specific topics.</w:t>
      </w:r>
    </w:p>
    <w:p w14:paraId="2E8668C9" w14:textId="5C3225DE" w:rsidR="00C67113" w:rsidRPr="00D10B71" w:rsidRDefault="00205D29" w:rsidP="00E477AC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TEACHING METHOD</w:t>
      </w:r>
    </w:p>
    <w:p w14:paraId="3456F031" w14:textId="4734397F" w:rsidR="005F26A7" w:rsidRPr="00205D29" w:rsidRDefault="00205D29" w:rsidP="00205D29">
      <w:pPr>
        <w:tabs>
          <w:tab w:val="clear" w:pos="284"/>
        </w:tabs>
        <w:spacing w:after="120" w:line="220" w:lineRule="exact"/>
        <w:rPr>
          <w:noProof/>
          <w:lang w:val="en-GB"/>
        </w:rPr>
      </w:pPr>
      <w:r w:rsidRPr="00205D29">
        <w:rPr>
          <w:noProof/>
          <w:lang w:val="en-GB"/>
        </w:rPr>
        <w:t xml:space="preserve">Frontal lessons, guided practical works, development of business cases </w:t>
      </w:r>
      <w:r>
        <w:rPr>
          <w:noProof/>
          <w:lang w:val="en-GB"/>
        </w:rPr>
        <w:t>and seminars.</w:t>
      </w:r>
    </w:p>
    <w:p w14:paraId="5BD0B820" w14:textId="3EC61D6D" w:rsidR="00E73B11" w:rsidRPr="00D10B71" w:rsidRDefault="00205D29" w:rsidP="00E73B11">
      <w:pPr>
        <w:spacing w:after="120"/>
        <w:rPr>
          <w:sz w:val="18"/>
          <w:szCs w:val="18"/>
        </w:rPr>
      </w:pPr>
      <w:r>
        <w:rPr>
          <w:b/>
          <w:i/>
          <w:smallCaps/>
          <w:sz w:val="18"/>
          <w:szCs w:val="18"/>
        </w:rPr>
        <w:t>ASSESSMENT METHOD AND CRITERIA</w:t>
      </w:r>
    </w:p>
    <w:p w14:paraId="7AEF239D" w14:textId="4F72B988" w:rsidR="00205D29" w:rsidRPr="00205D29" w:rsidRDefault="00205D29" w:rsidP="00E73B11">
      <w:pPr>
        <w:pStyle w:val="Testo2"/>
        <w:ind w:firstLine="0"/>
        <w:rPr>
          <w:sz w:val="20"/>
          <w:lang w:val="en-GB"/>
        </w:rPr>
      </w:pPr>
      <w:r w:rsidRPr="00205D29">
        <w:rPr>
          <w:sz w:val="20"/>
          <w:lang w:val="en-GB"/>
        </w:rPr>
        <w:t>The evaluation of know</w:t>
      </w:r>
      <w:r>
        <w:rPr>
          <w:sz w:val="20"/>
          <w:lang w:val="en-GB"/>
        </w:rPr>
        <w:t xml:space="preserve">ledge and skills takes place with a written examination lasting 1 hour and composed by open questions (normally, 6 with a maximum grade of 5 each question). </w:t>
      </w:r>
      <w:r w:rsidRPr="00205D29">
        <w:rPr>
          <w:sz w:val="20"/>
          <w:lang w:val="en-GB"/>
        </w:rPr>
        <w:t>The clarity in the exposure, the consistency of the answer with the question, the use of a correct technical terminology and the completeness of the arguments reported will all contribute to the final assessment</w:t>
      </w:r>
      <w:r>
        <w:rPr>
          <w:sz w:val="20"/>
          <w:lang w:val="en-GB"/>
        </w:rPr>
        <w:t xml:space="preserve">. </w:t>
      </w:r>
      <w:r w:rsidRPr="00205D29">
        <w:rPr>
          <w:sz w:val="20"/>
          <w:lang w:val="en-GB"/>
        </w:rPr>
        <w:t xml:space="preserve">The final grade is given by the average of the written exam and </w:t>
      </w:r>
      <w:r>
        <w:rPr>
          <w:sz w:val="20"/>
          <w:lang w:val="en-GB"/>
        </w:rPr>
        <w:t xml:space="preserve">the results achieved in the assessments during the course (business case) and evalued in </w:t>
      </w:r>
      <w:r w:rsidRPr="00205D29">
        <w:rPr>
          <w:sz w:val="20"/>
          <w:lang w:val="en-GB"/>
        </w:rPr>
        <w:t>thirtieths</w:t>
      </w:r>
      <w:r>
        <w:rPr>
          <w:sz w:val="20"/>
          <w:lang w:val="en-GB"/>
        </w:rPr>
        <w:t>.</w:t>
      </w:r>
    </w:p>
    <w:p w14:paraId="133991BF" w14:textId="77777777" w:rsidR="00E73B11" w:rsidRPr="00D10B71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24212D39" w14:textId="2F65BED9" w:rsidR="00C67113" w:rsidRDefault="00205D29" w:rsidP="00C27510">
      <w:pPr>
        <w:spacing w:after="120"/>
      </w:pPr>
      <w:r>
        <w:rPr>
          <w:b/>
          <w:i/>
          <w:smallCaps/>
          <w:sz w:val="18"/>
          <w:szCs w:val="18"/>
        </w:rPr>
        <w:t>NOTES</w:t>
      </w:r>
    </w:p>
    <w:p w14:paraId="6326185E" w14:textId="7EBA8A63" w:rsidR="00205D29" w:rsidRPr="00205D29" w:rsidRDefault="00205D29" w:rsidP="00170539">
      <w:pPr>
        <w:pStyle w:val="Testo2"/>
        <w:ind w:firstLine="0"/>
        <w:rPr>
          <w:sz w:val="20"/>
          <w:lang w:val="en-GB"/>
        </w:rPr>
      </w:pPr>
      <w:r w:rsidRPr="00205D29">
        <w:rPr>
          <w:sz w:val="20"/>
          <w:lang w:val="en-GB"/>
        </w:rPr>
        <w:t xml:space="preserve">For attending the course, no specific requirement is necessary; however, a preliminary knowledge of </w:t>
      </w:r>
      <w:r>
        <w:rPr>
          <w:sz w:val="20"/>
          <w:lang w:val="en-GB"/>
        </w:rPr>
        <w:t>financial markets and institutions</w:t>
      </w:r>
      <w:r w:rsidRPr="00205D29">
        <w:rPr>
          <w:sz w:val="20"/>
          <w:lang w:val="en-GB"/>
        </w:rPr>
        <w:t xml:space="preserve"> is useful. The teaching material will be provided via Blackboard</w:t>
      </w:r>
      <w:r w:rsidR="00C27510">
        <w:rPr>
          <w:sz w:val="20"/>
          <w:lang w:val="en-GB"/>
        </w:rPr>
        <w:t>.</w:t>
      </w:r>
    </w:p>
    <w:p w14:paraId="27D0B35C" w14:textId="77777777" w:rsidR="00C67113" w:rsidRPr="00205D29" w:rsidRDefault="00C67113" w:rsidP="00C67113">
      <w:pPr>
        <w:rPr>
          <w:sz w:val="18"/>
          <w:szCs w:val="18"/>
          <w:lang w:val="en-GB"/>
        </w:rPr>
      </w:pPr>
    </w:p>
    <w:p w14:paraId="0C7D871F" w14:textId="77777777" w:rsidR="009402C1" w:rsidRPr="00205D29" w:rsidRDefault="009402C1" w:rsidP="00C67113">
      <w:pPr>
        <w:rPr>
          <w:sz w:val="18"/>
          <w:szCs w:val="18"/>
          <w:lang w:val="en-GB"/>
        </w:rPr>
      </w:pPr>
    </w:p>
    <w:p w14:paraId="6771EF35" w14:textId="5216C805" w:rsidR="009863EC" w:rsidRPr="00C27510" w:rsidRDefault="00C27510" w:rsidP="009863EC">
      <w:pPr>
        <w:pStyle w:val="Testo1"/>
        <w:spacing w:after="120"/>
        <w:rPr>
          <w:b/>
          <w:i/>
          <w:szCs w:val="18"/>
        </w:rPr>
      </w:pPr>
      <w:r w:rsidRPr="00C27510">
        <w:rPr>
          <w:b/>
          <w:i/>
          <w:szCs w:val="18"/>
        </w:rPr>
        <w:t>OFFICE HOURS</w:t>
      </w:r>
    </w:p>
    <w:p w14:paraId="5A3A106C" w14:textId="7B18C0F0" w:rsidR="006E23CF" w:rsidRPr="00C27510" w:rsidRDefault="00C27510" w:rsidP="00C27510">
      <w:pPr>
        <w:pStyle w:val="Testo2"/>
        <w:ind w:firstLine="0"/>
        <w:rPr>
          <w:sz w:val="20"/>
          <w:lang w:val="en-GB"/>
        </w:rPr>
      </w:pPr>
      <w:r w:rsidRPr="00C27510">
        <w:rPr>
          <w:sz w:val="20"/>
          <w:lang w:val="en-GB"/>
        </w:rPr>
        <w:t xml:space="preserve">The professor receives students following a programmed schedule and/or after each single lesson. Office hourse are available on the web page of the professor: </w:t>
      </w:r>
      <w:hyperlink r:id="rId5" w:history="1">
        <w:r w:rsidRPr="000C4DEA">
          <w:rPr>
            <w:rStyle w:val="Collegamentoipertestuale"/>
            <w:sz w:val="20"/>
            <w:lang w:val="en-GB"/>
          </w:rPr>
          <w:t>http://docenti.unicatt.it/</w:t>
        </w:r>
      </w:hyperlink>
      <w:r>
        <w:rPr>
          <w:sz w:val="20"/>
          <w:lang w:val="en-GB"/>
        </w:rPr>
        <w:t xml:space="preserve"> </w:t>
      </w:r>
    </w:p>
    <w:sectPr w:rsidR="006E23CF" w:rsidRPr="00C275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15944">
    <w:abstractNumId w:val="2"/>
  </w:num>
  <w:num w:numId="2" w16cid:durableId="279655063">
    <w:abstractNumId w:val="3"/>
  </w:num>
  <w:num w:numId="3" w16cid:durableId="1020861559">
    <w:abstractNumId w:val="1"/>
  </w:num>
  <w:num w:numId="4" w16cid:durableId="872115869">
    <w:abstractNumId w:val="0"/>
  </w:num>
  <w:num w:numId="5" w16cid:durableId="1950962975">
    <w:abstractNumId w:val="5"/>
  </w:num>
  <w:num w:numId="6" w16cid:durableId="1034306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92"/>
    <w:rsid w:val="00052BA9"/>
    <w:rsid w:val="000774B1"/>
    <w:rsid w:val="0009489F"/>
    <w:rsid w:val="000C1862"/>
    <w:rsid w:val="000C6771"/>
    <w:rsid w:val="00100D8D"/>
    <w:rsid w:val="00121AD4"/>
    <w:rsid w:val="00127248"/>
    <w:rsid w:val="00170539"/>
    <w:rsid w:val="00205D29"/>
    <w:rsid w:val="002063F3"/>
    <w:rsid w:val="002214B5"/>
    <w:rsid w:val="00231CA2"/>
    <w:rsid w:val="00235231"/>
    <w:rsid w:val="002866E8"/>
    <w:rsid w:val="002872B3"/>
    <w:rsid w:val="002B4705"/>
    <w:rsid w:val="00300814"/>
    <w:rsid w:val="00320725"/>
    <w:rsid w:val="00375192"/>
    <w:rsid w:val="003D18F4"/>
    <w:rsid w:val="00436ECC"/>
    <w:rsid w:val="004421DE"/>
    <w:rsid w:val="00445471"/>
    <w:rsid w:val="0045638E"/>
    <w:rsid w:val="00467DE2"/>
    <w:rsid w:val="0047031A"/>
    <w:rsid w:val="004A2D20"/>
    <w:rsid w:val="004A37E2"/>
    <w:rsid w:val="005921BB"/>
    <w:rsid w:val="005932D4"/>
    <w:rsid w:val="00595F99"/>
    <w:rsid w:val="005A7349"/>
    <w:rsid w:val="005F185F"/>
    <w:rsid w:val="005F26A7"/>
    <w:rsid w:val="00615102"/>
    <w:rsid w:val="006439A9"/>
    <w:rsid w:val="006974D3"/>
    <w:rsid w:val="006A1F14"/>
    <w:rsid w:val="006E23CF"/>
    <w:rsid w:val="006F1E92"/>
    <w:rsid w:val="00701C87"/>
    <w:rsid w:val="0070687E"/>
    <w:rsid w:val="0072422D"/>
    <w:rsid w:val="00742230"/>
    <w:rsid w:val="007A2CD6"/>
    <w:rsid w:val="007B09AD"/>
    <w:rsid w:val="007B7CCC"/>
    <w:rsid w:val="008B0A8C"/>
    <w:rsid w:val="008B75D2"/>
    <w:rsid w:val="009402C1"/>
    <w:rsid w:val="00957A35"/>
    <w:rsid w:val="009863EC"/>
    <w:rsid w:val="009E7C24"/>
    <w:rsid w:val="009F3270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C00747"/>
    <w:rsid w:val="00C27510"/>
    <w:rsid w:val="00C27D7D"/>
    <w:rsid w:val="00C543F5"/>
    <w:rsid w:val="00C66FE3"/>
    <w:rsid w:val="00C67113"/>
    <w:rsid w:val="00C9277A"/>
    <w:rsid w:val="00C93BD4"/>
    <w:rsid w:val="00D10B71"/>
    <w:rsid w:val="00D3366F"/>
    <w:rsid w:val="00D373D3"/>
    <w:rsid w:val="00D62B3F"/>
    <w:rsid w:val="00D82F5E"/>
    <w:rsid w:val="00DA4A69"/>
    <w:rsid w:val="00E477AC"/>
    <w:rsid w:val="00E735CC"/>
    <w:rsid w:val="00E73B11"/>
    <w:rsid w:val="00F165CD"/>
    <w:rsid w:val="00F34AB4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  <w15:docId w15:val="{26038221-A709-4232-B854-4EB27A0A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uiPriority w:val="99"/>
    <w:rsid w:val="009402C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40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paolo fiorillo</cp:lastModifiedBy>
  <cp:revision>3</cp:revision>
  <cp:lastPrinted>2009-06-17T07:46:00Z</cp:lastPrinted>
  <dcterms:created xsi:type="dcterms:W3CDTF">2023-07-13T14:17:00Z</dcterms:created>
  <dcterms:modified xsi:type="dcterms:W3CDTF">2023-07-13T15:55:00Z</dcterms:modified>
</cp:coreProperties>
</file>