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713F" w14:textId="77777777" w:rsidR="009D023A" w:rsidRPr="009D0629" w:rsidRDefault="00BE58DA">
      <w:pPr>
        <w:pStyle w:val="P68B1DB1-Titolo11"/>
        <w:rPr>
          <w:sz w:val="24"/>
          <w:szCs w:val="24"/>
          <w:lang w:val="en-GB"/>
        </w:rPr>
      </w:pPr>
      <w:r w:rsidRPr="009D0629">
        <w:rPr>
          <w:sz w:val="24"/>
          <w:szCs w:val="24"/>
          <w:lang w:val="en-GB"/>
        </w:rPr>
        <w:t>Food Microbiology</w:t>
      </w:r>
    </w:p>
    <w:p w14:paraId="6CC1515B" w14:textId="33E4DA55" w:rsidR="009D023A" w:rsidRDefault="00BE58DA">
      <w:pPr>
        <w:pStyle w:val="P68B1DB1-Titolo22"/>
        <w:rPr>
          <w:lang w:val="en-GB"/>
        </w:rPr>
      </w:pPr>
      <w:r w:rsidRPr="004446FF">
        <w:rPr>
          <w:lang w:val="en-GB"/>
        </w:rPr>
        <w:t>Prof. Vania Patrone</w:t>
      </w:r>
    </w:p>
    <w:p w14:paraId="4F5AF73C" w14:textId="372924F9" w:rsidR="009D023A" w:rsidRPr="009D0629" w:rsidRDefault="009D0629">
      <w:pPr>
        <w:pStyle w:val="P68B1DB1-Normale3"/>
        <w:spacing w:before="240" w:after="120"/>
        <w:rPr>
          <w:i/>
          <w:lang w:val="en-GB"/>
        </w:rPr>
      </w:pPr>
      <w:r w:rsidRPr="009D0629">
        <w:rPr>
          <w:i/>
          <w:lang w:val="en-GB"/>
        </w:rPr>
        <w:t>COURSE AIMS AND INTENDED LEARNING OUTCOMES</w:t>
      </w:r>
    </w:p>
    <w:p w14:paraId="6FCB9747" w14:textId="77777777" w:rsidR="009D023A" w:rsidRPr="004446FF" w:rsidRDefault="00BE58DA">
      <w:pPr>
        <w:pStyle w:val="P68B1DB1-Normale4"/>
        <w:rPr>
          <w:lang w:val="en-GB"/>
        </w:rPr>
      </w:pPr>
      <w:r w:rsidRPr="004446FF">
        <w:rPr>
          <w:lang w:val="en-GB"/>
        </w:rPr>
        <w:t xml:space="preserve">The course aims to provide students with a general understanding of the role played by microorganisms in the preparation, transformation, preservation and microbiological quality of foods of animal and plant origin. The course will provide basic information on the main microbial groups for pro-technological use, the micro-organisms responsible for spoiling, and the pathogens related to the main food chains. The analysis protocols used in defining the microbiological aspect of food will also be presented. </w:t>
      </w:r>
    </w:p>
    <w:p w14:paraId="707780DE" w14:textId="2B4551AB" w:rsidR="009D023A" w:rsidRPr="004446FF" w:rsidRDefault="00BE58DA">
      <w:pPr>
        <w:rPr>
          <w:rFonts w:ascii="Times New Roman" w:hAnsi="Times New Roman"/>
          <w:sz w:val="22"/>
          <w:lang w:val="en-GB"/>
        </w:rPr>
      </w:pPr>
      <w:r w:rsidRPr="004446FF">
        <w:rPr>
          <w:rFonts w:ascii="Times New Roman" w:hAnsi="Times New Roman"/>
          <w:sz w:val="22"/>
          <w:lang w:val="en-GB"/>
        </w:rPr>
        <w:t>At the end of the course, students will be able to: understand the principles that regulate the survival and development of microorganisms in food; appreciate the relevance of the pro-technological role played by the different microbial groups in fermented foods and the use of starter cultures; describe the alterations in foods of microbial origin and the main diseases transmitted by food pathogens. Knowledge of these principles will allow</w:t>
      </w:r>
      <w:r w:rsidR="001B536C">
        <w:rPr>
          <w:rFonts w:ascii="Times New Roman" w:hAnsi="Times New Roman"/>
          <w:sz w:val="22"/>
          <w:lang w:val="en-GB"/>
        </w:rPr>
        <w:t xml:space="preserve"> </w:t>
      </w:r>
      <w:r w:rsidRPr="004446FF">
        <w:rPr>
          <w:rFonts w:ascii="Times New Roman" w:hAnsi="Times New Roman"/>
          <w:sz w:val="22"/>
          <w:lang w:val="en-GB"/>
        </w:rPr>
        <w:t>student</w:t>
      </w:r>
      <w:r w:rsidR="001B536C">
        <w:rPr>
          <w:rFonts w:ascii="Times New Roman" w:hAnsi="Times New Roman"/>
          <w:sz w:val="22"/>
          <w:lang w:val="en-GB"/>
        </w:rPr>
        <w:t>s</w:t>
      </w:r>
      <w:r w:rsidRPr="004446FF">
        <w:rPr>
          <w:rFonts w:ascii="Times New Roman" w:hAnsi="Times New Roman"/>
          <w:sz w:val="22"/>
          <w:lang w:val="en-GB"/>
        </w:rPr>
        <w:t xml:space="preserve"> to identify the </w:t>
      </w:r>
      <w:r w:rsidR="001B536C" w:rsidRPr="004446FF">
        <w:rPr>
          <w:rFonts w:ascii="Times New Roman" w:hAnsi="Times New Roman"/>
          <w:sz w:val="22"/>
          <w:lang w:val="en-GB"/>
        </w:rPr>
        <w:t xml:space="preserve">most suitable </w:t>
      </w:r>
      <w:r w:rsidRPr="004446FF">
        <w:rPr>
          <w:rFonts w:ascii="Times New Roman" w:hAnsi="Times New Roman"/>
          <w:sz w:val="22"/>
          <w:lang w:val="en-GB"/>
        </w:rPr>
        <w:t>preservation techniques and control methods of microorganisms in food products and processes for food safety management.</w:t>
      </w:r>
      <w:r w:rsidRPr="004446FF">
        <w:rPr>
          <w:lang w:val="en-GB"/>
        </w:rPr>
        <w:t xml:space="preserve"> </w:t>
      </w:r>
      <w:r w:rsidRPr="004446FF">
        <w:rPr>
          <w:rFonts w:ascii="Times New Roman" w:hAnsi="Times New Roman"/>
          <w:sz w:val="22"/>
          <w:lang w:val="en-GB"/>
        </w:rPr>
        <w:t>Students will also be able to define the microbiological quality of food production by applying analytical methods to determine the main virtuous, altering and pathogenic microorganisms.</w:t>
      </w:r>
    </w:p>
    <w:p w14:paraId="3397AB14" w14:textId="77777777" w:rsidR="009D023A" w:rsidRPr="004446FF" w:rsidRDefault="009D023A">
      <w:pPr>
        <w:rPr>
          <w:rFonts w:ascii="Times New Roman" w:hAnsi="Times New Roman"/>
          <w:sz w:val="22"/>
          <w:lang w:val="en-GB"/>
        </w:rPr>
      </w:pPr>
    </w:p>
    <w:p w14:paraId="5C8ADD6E" w14:textId="788E855E" w:rsidR="009D023A" w:rsidRPr="009D0629" w:rsidRDefault="009D0629">
      <w:pPr>
        <w:pStyle w:val="P68B1DB1-Normale3"/>
        <w:rPr>
          <w:i/>
          <w:lang w:val="en-GB"/>
        </w:rPr>
      </w:pPr>
      <w:r w:rsidRPr="009D0629">
        <w:rPr>
          <w:i/>
          <w:lang w:val="en-GB"/>
        </w:rPr>
        <w:t>COURSE CONTENT</w:t>
      </w:r>
    </w:p>
    <w:p w14:paraId="565DA385" w14:textId="77777777" w:rsidR="009D023A" w:rsidRPr="004446FF" w:rsidRDefault="009D023A">
      <w:pPr>
        <w:rPr>
          <w:rFonts w:ascii="Times New Roman" w:hAnsi="Times New Roman"/>
          <w:smallCaps/>
          <w:sz w:val="22"/>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9D023A" w:rsidRPr="004446FF" w14:paraId="78D03A60" w14:textId="77777777">
        <w:tc>
          <w:tcPr>
            <w:tcW w:w="5746" w:type="dxa"/>
            <w:tcBorders>
              <w:bottom w:val="single" w:sz="4" w:space="0" w:color="auto"/>
            </w:tcBorders>
            <w:shd w:val="clear" w:color="auto" w:fill="auto"/>
          </w:tcPr>
          <w:p w14:paraId="615707FF" w14:textId="77777777" w:rsidR="009D023A" w:rsidRPr="004446FF" w:rsidRDefault="009D023A">
            <w:pPr>
              <w:rPr>
                <w:rFonts w:ascii="Times New Roman" w:hAnsi="Times New Roman"/>
                <w:sz w:val="22"/>
                <w:lang w:val="en-GB"/>
              </w:rPr>
            </w:pPr>
          </w:p>
        </w:tc>
        <w:tc>
          <w:tcPr>
            <w:tcW w:w="1160" w:type="dxa"/>
            <w:tcBorders>
              <w:bottom w:val="single" w:sz="4" w:space="0" w:color="auto"/>
            </w:tcBorders>
            <w:shd w:val="clear" w:color="auto" w:fill="auto"/>
          </w:tcPr>
          <w:p w14:paraId="62DAA3F1" w14:textId="77777777" w:rsidR="009D023A" w:rsidRPr="004446FF" w:rsidRDefault="00BE58DA">
            <w:pPr>
              <w:pStyle w:val="P68B1DB1-Normale4"/>
              <w:rPr>
                <w:lang w:val="en-GB"/>
              </w:rPr>
            </w:pPr>
            <w:r w:rsidRPr="004446FF">
              <w:rPr>
                <w:lang w:val="en-GB"/>
              </w:rPr>
              <w:t>ECTS</w:t>
            </w:r>
          </w:p>
        </w:tc>
      </w:tr>
      <w:tr w:rsidR="009D023A" w:rsidRPr="001B536C" w14:paraId="52A023BD" w14:textId="77777777">
        <w:tc>
          <w:tcPr>
            <w:tcW w:w="5746" w:type="dxa"/>
            <w:tcBorders>
              <w:bottom w:val="nil"/>
            </w:tcBorders>
            <w:shd w:val="clear" w:color="auto" w:fill="auto"/>
          </w:tcPr>
          <w:p w14:paraId="675C6F4E" w14:textId="49DFFCF6" w:rsidR="009D023A" w:rsidRPr="004446FF" w:rsidRDefault="005D0B70">
            <w:pPr>
              <w:pStyle w:val="P68B1DB1-Normale4"/>
              <w:tabs>
                <w:tab w:val="clear" w:pos="284"/>
              </w:tabs>
              <w:spacing w:line="240" w:lineRule="auto"/>
              <w:jc w:val="left"/>
              <w:rPr>
                <w:lang w:val="en-GB"/>
              </w:rPr>
            </w:pPr>
            <w:r>
              <w:rPr>
                <w:lang w:val="en-GB"/>
              </w:rPr>
              <w:t>Food-associated micro</w:t>
            </w:r>
            <w:r w:rsidR="00BE58DA" w:rsidRPr="004446FF">
              <w:rPr>
                <w:lang w:val="en-GB"/>
              </w:rPr>
              <w:t>organisms and their role. Sources of microbial contamination. Quality indicators.</w:t>
            </w:r>
          </w:p>
        </w:tc>
        <w:tc>
          <w:tcPr>
            <w:tcW w:w="1160" w:type="dxa"/>
            <w:tcBorders>
              <w:bottom w:val="nil"/>
            </w:tcBorders>
            <w:shd w:val="clear" w:color="auto" w:fill="auto"/>
          </w:tcPr>
          <w:p w14:paraId="6026FC0B" w14:textId="77777777" w:rsidR="009D023A" w:rsidRPr="004446FF" w:rsidRDefault="009D023A">
            <w:pPr>
              <w:rPr>
                <w:rFonts w:ascii="Times New Roman" w:hAnsi="Times New Roman"/>
                <w:sz w:val="22"/>
                <w:highlight w:val="yellow"/>
                <w:lang w:val="en-GB"/>
              </w:rPr>
            </w:pPr>
          </w:p>
        </w:tc>
      </w:tr>
      <w:tr w:rsidR="009D023A" w:rsidRPr="004446FF" w14:paraId="62069776" w14:textId="77777777">
        <w:tc>
          <w:tcPr>
            <w:tcW w:w="5746" w:type="dxa"/>
            <w:tcBorders>
              <w:top w:val="nil"/>
            </w:tcBorders>
            <w:shd w:val="clear" w:color="auto" w:fill="auto"/>
          </w:tcPr>
          <w:p w14:paraId="6487D928" w14:textId="77777777" w:rsidR="009D023A" w:rsidRPr="004446FF" w:rsidRDefault="00BE58DA">
            <w:pPr>
              <w:pStyle w:val="P68B1DB1-Normale4"/>
              <w:jc w:val="left"/>
              <w:rPr>
                <w:lang w:val="en-GB"/>
              </w:rPr>
            </w:pPr>
            <w:r w:rsidRPr="004446FF">
              <w:rPr>
                <w:lang w:val="en-GB"/>
              </w:rPr>
              <w:t>Factors influencing microbial development: intrinsic, extrinsic and implicit factors. Control of microorganisms in food: chemical, physical and biological factors. Barrier theory. Shelf-life and predictive microbiology.</w:t>
            </w:r>
          </w:p>
        </w:tc>
        <w:tc>
          <w:tcPr>
            <w:tcW w:w="1160" w:type="dxa"/>
            <w:tcBorders>
              <w:top w:val="nil"/>
            </w:tcBorders>
            <w:shd w:val="clear" w:color="auto" w:fill="auto"/>
          </w:tcPr>
          <w:p w14:paraId="4AA2C905" w14:textId="3F8FA083" w:rsidR="009D023A" w:rsidRPr="004446FF" w:rsidRDefault="00BE58DA">
            <w:pPr>
              <w:pStyle w:val="P68B1DB1-Normale4"/>
              <w:rPr>
                <w:highlight w:val="yellow"/>
                <w:lang w:val="en-GB"/>
              </w:rPr>
            </w:pPr>
            <w:r w:rsidRPr="004446FF">
              <w:rPr>
                <w:lang w:val="en-GB"/>
              </w:rPr>
              <w:t>1.</w:t>
            </w:r>
            <w:r w:rsidR="005D0B70">
              <w:rPr>
                <w:lang w:val="en-GB"/>
              </w:rPr>
              <w:t>5</w:t>
            </w:r>
          </w:p>
        </w:tc>
      </w:tr>
      <w:tr w:rsidR="009D023A" w:rsidRPr="004446FF" w14:paraId="541B816A" w14:textId="77777777">
        <w:tc>
          <w:tcPr>
            <w:tcW w:w="5746" w:type="dxa"/>
            <w:tcBorders>
              <w:bottom w:val="single" w:sz="4" w:space="0" w:color="auto"/>
            </w:tcBorders>
            <w:shd w:val="clear" w:color="auto" w:fill="auto"/>
          </w:tcPr>
          <w:p w14:paraId="31ED711F" w14:textId="7E655777" w:rsidR="009D023A" w:rsidRPr="004446FF" w:rsidRDefault="006B7320" w:rsidP="006B7320">
            <w:pPr>
              <w:pStyle w:val="P68B1DB1-Normale4"/>
              <w:tabs>
                <w:tab w:val="clear" w:pos="284"/>
              </w:tabs>
              <w:spacing w:line="240" w:lineRule="auto"/>
              <w:jc w:val="left"/>
              <w:rPr>
                <w:lang w:val="en-GB"/>
              </w:rPr>
            </w:pPr>
            <w:r>
              <w:rPr>
                <w:lang w:val="en-GB"/>
              </w:rPr>
              <w:t>Major m</w:t>
            </w:r>
            <w:r w:rsidR="005D0B70">
              <w:rPr>
                <w:lang w:val="en-GB"/>
              </w:rPr>
              <w:t xml:space="preserve">icroorganisms </w:t>
            </w:r>
            <w:r>
              <w:rPr>
                <w:lang w:val="en-GB"/>
              </w:rPr>
              <w:t xml:space="preserve">of interest </w:t>
            </w:r>
            <w:r w:rsidR="005D0B70">
              <w:rPr>
                <w:lang w:val="en-GB"/>
              </w:rPr>
              <w:t xml:space="preserve">in </w:t>
            </w:r>
            <w:r>
              <w:rPr>
                <w:lang w:val="en-GB"/>
              </w:rPr>
              <w:t xml:space="preserve">the food industry. </w:t>
            </w:r>
            <w:proofErr w:type="gramStart"/>
            <w:r w:rsidR="00BE58DA" w:rsidRPr="004446FF">
              <w:rPr>
                <w:lang w:val="en-GB"/>
              </w:rPr>
              <w:t>Pro-technological</w:t>
            </w:r>
            <w:proofErr w:type="gramEnd"/>
            <w:r w:rsidR="00BE58DA" w:rsidRPr="004446FF">
              <w:rPr>
                <w:lang w:val="en-GB"/>
              </w:rPr>
              <w:t>, alterative and pathogenic bacteria, yeasts, moulds, viruses and bacteriophages. EU Reg. 2073/2005 with subsequent amendments and additions. Phenotypic and genetic characterisation of microorganisms.</w:t>
            </w:r>
          </w:p>
        </w:tc>
        <w:tc>
          <w:tcPr>
            <w:tcW w:w="1160" w:type="dxa"/>
            <w:tcBorders>
              <w:bottom w:val="single" w:sz="4" w:space="0" w:color="auto"/>
            </w:tcBorders>
            <w:shd w:val="clear" w:color="auto" w:fill="auto"/>
          </w:tcPr>
          <w:p w14:paraId="7D197146" w14:textId="77777777" w:rsidR="009D023A" w:rsidRPr="004446FF" w:rsidRDefault="00BE58DA">
            <w:pPr>
              <w:pStyle w:val="P68B1DB1-Normale4"/>
              <w:rPr>
                <w:lang w:val="en-GB"/>
              </w:rPr>
            </w:pPr>
            <w:r w:rsidRPr="004446FF">
              <w:rPr>
                <w:lang w:val="en-GB"/>
              </w:rPr>
              <w:t>1.5</w:t>
            </w:r>
          </w:p>
        </w:tc>
      </w:tr>
      <w:tr w:rsidR="009D023A" w:rsidRPr="004446FF" w14:paraId="44E0F7D3" w14:textId="77777777">
        <w:trPr>
          <w:trHeight w:val="918"/>
        </w:trPr>
        <w:tc>
          <w:tcPr>
            <w:tcW w:w="5746" w:type="dxa"/>
            <w:tcBorders>
              <w:bottom w:val="nil"/>
            </w:tcBorders>
            <w:shd w:val="clear" w:color="auto" w:fill="auto"/>
          </w:tcPr>
          <w:p w14:paraId="3E40AA6E" w14:textId="77777777" w:rsidR="009D023A" w:rsidRPr="004446FF" w:rsidRDefault="00BE58DA">
            <w:pPr>
              <w:pStyle w:val="P68B1DB1-Normale4"/>
              <w:tabs>
                <w:tab w:val="clear" w:pos="284"/>
              </w:tabs>
              <w:spacing w:line="240" w:lineRule="auto"/>
              <w:rPr>
                <w:lang w:val="en-GB"/>
              </w:rPr>
            </w:pPr>
            <w:r w:rsidRPr="004446FF">
              <w:rPr>
                <w:lang w:val="en-GB"/>
              </w:rPr>
              <w:lastRenderedPageBreak/>
              <w:t>Unfermented drinks and foods: water, juices, other beverages. Foods of animal origin: microbiology of meats, drinking milk, fish products and eggs. Foods of vegetable origin: fruit and vegetables, fourth and fifth range products.</w:t>
            </w:r>
          </w:p>
        </w:tc>
        <w:tc>
          <w:tcPr>
            <w:tcW w:w="1160" w:type="dxa"/>
            <w:tcBorders>
              <w:bottom w:val="nil"/>
            </w:tcBorders>
            <w:shd w:val="clear" w:color="auto" w:fill="auto"/>
          </w:tcPr>
          <w:p w14:paraId="51D71F84" w14:textId="49F516F3" w:rsidR="009D023A" w:rsidRPr="004446FF" w:rsidRDefault="00BE58DA">
            <w:pPr>
              <w:pStyle w:val="P68B1DB1-Normale4"/>
              <w:rPr>
                <w:highlight w:val="green"/>
                <w:lang w:val="en-GB"/>
              </w:rPr>
            </w:pPr>
            <w:r w:rsidRPr="004446FF">
              <w:rPr>
                <w:lang w:val="en-GB"/>
              </w:rPr>
              <w:t>2</w:t>
            </w:r>
            <w:r w:rsidR="005039F4">
              <w:rPr>
                <w:lang w:val="en-GB"/>
              </w:rPr>
              <w:t>.0</w:t>
            </w:r>
            <w:bookmarkStart w:id="0" w:name="_GoBack"/>
            <w:bookmarkEnd w:id="0"/>
          </w:p>
        </w:tc>
      </w:tr>
      <w:tr w:rsidR="009D023A" w:rsidRPr="001B536C" w14:paraId="3E58DF11" w14:textId="77777777">
        <w:trPr>
          <w:trHeight w:val="792"/>
        </w:trPr>
        <w:tc>
          <w:tcPr>
            <w:tcW w:w="5746" w:type="dxa"/>
            <w:tcBorders>
              <w:top w:val="nil"/>
            </w:tcBorders>
            <w:shd w:val="clear" w:color="auto" w:fill="auto"/>
          </w:tcPr>
          <w:p w14:paraId="05903093" w14:textId="77777777" w:rsidR="009D023A" w:rsidRPr="004446FF" w:rsidRDefault="00BE58DA">
            <w:pPr>
              <w:pStyle w:val="P68B1DB1-Normale4"/>
              <w:tabs>
                <w:tab w:val="clear" w:pos="284"/>
              </w:tabs>
              <w:spacing w:line="240" w:lineRule="auto"/>
              <w:rPr>
                <w:lang w:val="en-GB"/>
              </w:rPr>
            </w:pPr>
            <w:r w:rsidRPr="004446FF">
              <w:rPr>
                <w:lang w:val="en-GB"/>
              </w:rPr>
              <w:t>Starter cultures. Fermented drinks and foods: fermented milks, cheeses, salami, fermented vegetables, bakery products, wine, vinegar and beer.</w:t>
            </w:r>
          </w:p>
        </w:tc>
        <w:tc>
          <w:tcPr>
            <w:tcW w:w="1160" w:type="dxa"/>
            <w:tcBorders>
              <w:top w:val="nil"/>
            </w:tcBorders>
            <w:shd w:val="clear" w:color="auto" w:fill="auto"/>
          </w:tcPr>
          <w:p w14:paraId="07A41F7E" w14:textId="77777777" w:rsidR="009D023A" w:rsidRPr="004446FF" w:rsidRDefault="009D023A">
            <w:pPr>
              <w:rPr>
                <w:rFonts w:ascii="Times New Roman" w:hAnsi="Times New Roman"/>
                <w:sz w:val="22"/>
                <w:highlight w:val="green"/>
                <w:lang w:val="en-GB"/>
              </w:rPr>
            </w:pPr>
          </w:p>
        </w:tc>
      </w:tr>
      <w:tr w:rsidR="009D023A" w:rsidRPr="004446FF" w14:paraId="5FBBF74D" w14:textId="77777777">
        <w:tc>
          <w:tcPr>
            <w:tcW w:w="5746" w:type="dxa"/>
            <w:shd w:val="clear" w:color="auto" w:fill="auto"/>
          </w:tcPr>
          <w:p w14:paraId="72727527" w14:textId="7F368CD5" w:rsidR="009D023A" w:rsidRPr="004446FF" w:rsidRDefault="001B536C">
            <w:pPr>
              <w:pStyle w:val="P68B1DB1-Normale4"/>
              <w:rPr>
                <w:lang w:val="en-GB"/>
              </w:rPr>
            </w:pPr>
            <w:r>
              <w:rPr>
                <w:smallCaps/>
                <w:lang w:val="en-GB"/>
              </w:rPr>
              <w:t>Practical activities</w:t>
            </w:r>
            <w:r w:rsidR="004A4AE1">
              <w:rPr>
                <w:lang w:val="en-GB"/>
              </w:rPr>
              <w:t>: D</w:t>
            </w:r>
            <w:r w:rsidR="00BE58DA" w:rsidRPr="004446FF">
              <w:rPr>
                <w:lang w:val="en-GB"/>
              </w:rPr>
              <w:t>etermination of the main pathogenic bacteria in food. Microbiological control of water, air and surfaces.</w:t>
            </w:r>
          </w:p>
        </w:tc>
        <w:tc>
          <w:tcPr>
            <w:tcW w:w="1160" w:type="dxa"/>
            <w:shd w:val="clear" w:color="auto" w:fill="auto"/>
          </w:tcPr>
          <w:p w14:paraId="2C053B2D" w14:textId="77777777" w:rsidR="009D023A" w:rsidRPr="004446FF" w:rsidRDefault="00BE58DA">
            <w:pPr>
              <w:pStyle w:val="P68B1DB1-Normale4"/>
              <w:rPr>
                <w:lang w:val="en-GB"/>
              </w:rPr>
            </w:pPr>
            <w:r w:rsidRPr="004446FF">
              <w:rPr>
                <w:lang w:val="en-GB"/>
              </w:rPr>
              <w:t>1.0</w:t>
            </w:r>
          </w:p>
        </w:tc>
      </w:tr>
    </w:tbl>
    <w:p w14:paraId="4C44F0BE" w14:textId="10A96359" w:rsidR="009D023A" w:rsidRPr="009D0629" w:rsidRDefault="009D0629">
      <w:pPr>
        <w:pStyle w:val="P68B1DB1-Normale3"/>
        <w:keepNext/>
        <w:spacing w:before="240" w:after="120"/>
        <w:rPr>
          <w:i/>
          <w:lang w:val="en-GB"/>
        </w:rPr>
      </w:pPr>
      <w:r w:rsidRPr="009D0629">
        <w:rPr>
          <w:i/>
          <w:lang w:val="en-GB"/>
        </w:rPr>
        <w:t>READING LIST</w:t>
      </w:r>
    </w:p>
    <w:p w14:paraId="285C9807" w14:textId="77777777" w:rsidR="00A51A97" w:rsidRPr="00A51A97" w:rsidRDefault="00A51A97" w:rsidP="00A51A97">
      <w:pPr>
        <w:tabs>
          <w:tab w:val="clear" w:pos="284"/>
        </w:tabs>
        <w:spacing w:line="240" w:lineRule="atLeast"/>
        <w:rPr>
          <w:rFonts w:ascii="Times New Roman" w:hAnsi="Times New Roman"/>
          <w:spacing w:val="-5"/>
          <w:sz w:val="22"/>
          <w:szCs w:val="22"/>
          <w:lang w:val="en-US"/>
        </w:rPr>
      </w:pPr>
      <w:r w:rsidRPr="00A51A97">
        <w:rPr>
          <w:rFonts w:ascii="Times New Roman" w:hAnsi="Times New Roman"/>
          <w:smallCaps/>
          <w:spacing w:val="-5"/>
          <w:sz w:val="22"/>
          <w:szCs w:val="22"/>
          <w:lang w:val="en-US"/>
        </w:rPr>
        <w:t xml:space="preserve">Luca </w:t>
      </w:r>
      <w:proofErr w:type="spellStart"/>
      <w:r w:rsidRPr="00A51A97">
        <w:rPr>
          <w:rFonts w:ascii="Times New Roman" w:hAnsi="Times New Roman"/>
          <w:smallCaps/>
          <w:spacing w:val="-5"/>
          <w:sz w:val="22"/>
          <w:szCs w:val="22"/>
          <w:lang w:val="en-US"/>
        </w:rPr>
        <w:t>Cocolin</w:t>
      </w:r>
      <w:proofErr w:type="spellEnd"/>
      <w:r w:rsidRPr="00A51A97">
        <w:rPr>
          <w:rFonts w:ascii="Times New Roman" w:hAnsi="Times New Roman"/>
          <w:smallCaps/>
          <w:spacing w:val="-5"/>
          <w:sz w:val="22"/>
          <w:szCs w:val="22"/>
          <w:lang w:val="en-US"/>
        </w:rPr>
        <w:t xml:space="preserve">, Marco </w:t>
      </w:r>
      <w:proofErr w:type="spellStart"/>
      <w:r w:rsidRPr="00A51A97">
        <w:rPr>
          <w:rFonts w:ascii="Times New Roman" w:hAnsi="Times New Roman"/>
          <w:smallCaps/>
          <w:spacing w:val="-5"/>
          <w:sz w:val="22"/>
          <w:szCs w:val="22"/>
          <w:lang w:val="en-US"/>
        </w:rPr>
        <w:t>Gobbetti</w:t>
      </w:r>
      <w:proofErr w:type="spellEnd"/>
      <w:r w:rsidRPr="00A51A97">
        <w:rPr>
          <w:rFonts w:ascii="Times New Roman" w:hAnsi="Times New Roman"/>
          <w:smallCaps/>
          <w:spacing w:val="-5"/>
          <w:sz w:val="22"/>
          <w:szCs w:val="22"/>
          <w:lang w:val="en-US"/>
        </w:rPr>
        <w:t xml:space="preserve">, </w:t>
      </w:r>
      <w:proofErr w:type="spellStart"/>
      <w:r w:rsidRPr="00A51A97">
        <w:rPr>
          <w:rFonts w:ascii="Times New Roman" w:hAnsi="Times New Roman"/>
          <w:smallCaps/>
          <w:spacing w:val="-5"/>
          <w:sz w:val="22"/>
          <w:szCs w:val="22"/>
          <w:lang w:val="en-US"/>
        </w:rPr>
        <w:t>Erasmo</w:t>
      </w:r>
      <w:proofErr w:type="spellEnd"/>
      <w:r w:rsidRPr="00A51A97">
        <w:rPr>
          <w:rFonts w:ascii="Times New Roman" w:hAnsi="Times New Roman"/>
          <w:smallCaps/>
          <w:spacing w:val="-5"/>
          <w:sz w:val="22"/>
          <w:szCs w:val="22"/>
          <w:lang w:val="en-US"/>
        </w:rPr>
        <w:t xml:space="preserve"> </w:t>
      </w:r>
      <w:proofErr w:type="spellStart"/>
      <w:r w:rsidRPr="00A51A97">
        <w:rPr>
          <w:rFonts w:ascii="Times New Roman" w:hAnsi="Times New Roman"/>
          <w:smallCaps/>
          <w:spacing w:val="-5"/>
          <w:sz w:val="22"/>
          <w:szCs w:val="22"/>
          <w:lang w:val="en-US"/>
        </w:rPr>
        <w:t>Neviani</w:t>
      </w:r>
      <w:proofErr w:type="spellEnd"/>
      <w:r w:rsidRPr="00A51A97">
        <w:rPr>
          <w:rFonts w:ascii="Times New Roman" w:hAnsi="Times New Roman"/>
          <w:smallCaps/>
          <w:spacing w:val="-5"/>
          <w:sz w:val="22"/>
          <w:szCs w:val="22"/>
          <w:lang w:val="en-US"/>
        </w:rPr>
        <w:t xml:space="preserve">. </w:t>
      </w:r>
      <w:proofErr w:type="spellStart"/>
      <w:r w:rsidRPr="00A51A97">
        <w:rPr>
          <w:rFonts w:ascii="Times New Roman" w:hAnsi="Times New Roman"/>
          <w:i/>
          <w:spacing w:val="-5"/>
          <w:sz w:val="22"/>
          <w:szCs w:val="22"/>
          <w:lang w:val="en-US"/>
        </w:rPr>
        <w:t>Microbiologia</w:t>
      </w:r>
      <w:proofErr w:type="spellEnd"/>
      <w:r w:rsidRPr="00A51A97">
        <w:rPr>
          <w:rFonts w:ascii="Times New Roman" w:hAnsi="Times New Roman"/>
          <w:i/>
          <w:spacing w:val="-5"/>
          <w:sz w:val="22"/>
          <w:szCs w:val="22"/>
          <w:lang w:val="en-US"/>
        </w:rPr>
        <w:t xml:space="preserve"> </w:t>
      </w:r>
      <w:proofErr w:type="spellStart"/>
      <w:r w:rsidRPr="00A51A97">
        <w:rPr>
          <w:rFonts w:ascii="Times New Roman" w:hAnsi="Times New Roman"/>
          <w:i/>
          <w:spacing w:val="-5"/>
          <w:sz w:val="22"/>
          <w:szCs w:val="22"/>
          <w:lang w:val="en-US"/>
        </w:rPr>
        <w:t>alimentare</w:t>
      </w:r>
      <w:proofErr w:type="spellEnd"/>
      <w:r w:rsidRPr="00A51A97">
        <w:rPr>
          <w:rFonts w:ascii="Times New Roman" w:hAnsi="Times New Roman"/>
          <w:i/>
          <w:spacing w:val="-5"/>
          <w:sz w:val="22"/>
          <w:szCs w:val="22"/>
          <w:lang w:val="en-US"/>
        </w:rPr>
        <w:t xml:space="preserve"> applicate. </w:t>
      </w:r>
      <w:r w:rsidRPr="00A51A97">
        <w:rPr>
          <w:rFonts w:ascii="Times New Roman" w:hAnsi="Times New Roman"/>
          <w:spacing w:val="-5"/>
          <w:sz w:val="22"/>
          <w:szCs w:val="22"/>
          <w:lang w:val="en-US"/>
        </w:rPr>
        <w:t xml:space="preserve">Casa </w:t>
      </w:r>
      <w:proofErr w:type="spellStart"/>
      <w:r w:rsidRPr="00A51A97">
        <w:rPr>
          <w:rFonts w:ascii="Times New Roman" w:hAnsi="Times New Roman"/>
          <w:spacing w:val="-5"/>
          <w:sz w:val="22"/>
          <w:szCs w:val="22"/>
          <w:lang w:val="en-US"/>
        </w:rPr>
        <w:t>Editrice</w:t>
      </w:r>
      <w:proofErr w:type="spellEnd"/>
      <w:r w:rsidRPr="00A51A97">
        <w:rPr>
          <w:rFonts w:ascii="Times New Roman" w:hAnsi="Times New Roman"/>
          <w:spacing w:val="-5"/>
          <w:sz w:val="22"/>
          <w:szCs w:val="22"/>
          <w:lang w:val="en-US"/>
        </w:rPr>
        <w:t xml:space="preserve"> Ambrosiana, 2022.</w:t>
      </w:r>
    </w:p>
    <w:p w14:paraId="03411E16" w14:textId="77777777" w:rsidR="00A51A97" w:rsidRPr="00A51A97" w:rsidRDefault="00A51A97" w:rsidP="00A51A97">
      <w:pPr>
        <w:tabs>
          <w:tab w:val="clear" w:pos="284"/>
        </w:tabs>
        <w:spacing w:line="240" w:lineRule="atLeast"/>
        <w:rPr>
          <w:rFonts w:ascii="Times New Roman" w:hAnsi="Times New Roman"/>
          <w:spacing w:val="-5"/>
          <w:sz w:val="22"/>
          <w:szCs w:val="22"/>
        </w:rPr>
      </w:pPr>
      <w:proofErr w:type="spellStart"/>
      <w:r w:rsidRPr="00A51A97">
        <w:rPr>
          <w:rFonts w:ascii="Times New Roman" w:hAnsi="Times New Roman"/>
          <w:smallCaps/>
          <w:spacing w:val="-5"/>
          <w:sz w:val="22"/>
          <w:szCs w:val="22"/>
          <w:lang w:val="en-US"/>
        </w:rPr>
        <w:t>J.m.jay</w:t>
      </w:r>
      <w:proofErr w:type="spellEnd"/>
      <w:r w:rsidRPr="00A51A97">
        <w:rPr>
          <w:rFonts w:ascii="Times New Roman" w:hAnsi="Times New Roman"/>
          <w:smallCaps/>
          <w:spacing w:val="-5"/>
          <w:sz w:val="22"/>
          <w:szCs w:val="22"/>
          <w:lang w:val="en-US"/>
        </w:rPr>
        <w:t xml:space="preserve">, </w:t>
      </w:r>
      <w:proofErr w:type="spellStart"/>
      <w:r w:rsidRPr="00A51A97">
        <w:rPr>
          <w:rFonts w:ascii="Times New Roman" w:hAnsi="Times New Roman"/>
          <w:smallCaps/>
          <w:spacing w:val="-5"/>
          <w:sz w:val="22"/>
          <w:szCs w:val="22"/>
          <w:lang w:val="en-US"/>
        </w:rPr>
        <w:t>m.j</w:t>
      </w:r>
      <w:proofErr w:type="spellEnd"/>
      <w:r w:rsidRPr="00A51A97">
        <w:rPr>
          <w:rFonts w:ascii="Times New Roman" w:hAnsi="Times New Roman"/>
          <w:smallCaps/>
          <w:spacing w:val="-5"/>
          <w:sz w:val="22"/>
          <w:szCs w:val="22"/>
          <w:lang w:val="en-US"/>
        </w:rPr>
        <w:t xml:space="preserve">. Loesser, </w:t>
      </w:r>
      <w:proofErr w:type="spellStart"/>
      <w:r w:rsidRPr="00A51A97">
        <w:rPr>
          <w:rFonts w:ascii="Times New Roman" w:hAnsi="Times New Roman"/>
          <w:smallCaps/>
          <w:spacing w:val="-5"/>
          <w:sz w:val="22"/>
          <w:szCs w:val="22"/>
          <w:lang w:val="en-US"/>
        </w:rPr>
        <w:t>d.a.</w:t>
      </w:r>
      <w:proofErr w:type="spellEnd"/>
      <w:r w:rsidRPr="00A51A97">
        <w:rPr>
          <w:rFonts w:ascii="Times New Roman" w:hAnsi="Times New Roman"/>
          <w:smallCaps/>
          <w:spacing w:val="-5"/>
          <w:sz w:val="22"/>
          <w:szCs w:val="22"/>
          <w:lang w:val="en-US"/>
        </w:rPr>
        <w:t xml:space="preserve"> Golden</w:t>
      </w:r>
      <w:r w:rsidRPr="00A51A97">
        <w:rPr>
          <w:rFonts w:ascii="Times New Roman" w:hAnsi="Times New Roman"/>
          <w:smallCaps/>
          <w:noProof/>
          <w:spacing w:val="-5"/>
          <w:sz w:val="22"/>
          <w:szCs w:val="22"/>
          <w:lang w:val="en-US"/>
        </w:rPr>
        <w:t xml:space="preserve">. </w:t>
      </w:r>
      <w:r w:rsidRPr="00A51A97">
        <w:rPr>
          <w:rFonts w:ascii="Times New Roman" w:hAnsi="Times New Roman"/>
          <w:i/>
          <w:spacing w:val="-5"/>
          <w:sz w:val="22"/>
          <w:szCs w:val="22"/>
        </w:rPr>
        <w:t>Microbiologia degli alimenti</w:t>
      </w:r>
      <w:r w:rsidRPr="00A51A97">
        <w:rPr>
          <w:rFonts w:ascii="Times New Roman" w:hAnsi="Times New Roman"/>
          <w:smallCaps/>
          <w:noProof/>
          <w:spacing w:val="-5"/>
          <w:sz w:val="22"/>
          <w:szCs w:val="22"/>
        </w:rPr>
        <w:t xml:space="preserve">. </w:t>
      </w:r>
      <w:r w:rsidRPr="00A51A97">
        <w:rPr>
          <w:rFonts w:ascii="Times New Roman" w:hAnsi="Times New Roman"/>
          <w:spacing w:val="-5"/>
          <w:sz w:val="22"/>
          <w:szCs w:val="22"/>
        </w:rPr>
        <w:t xml:space="preserve">Ed. </w:t>
      </w:r>
      <w:proofErr w:type="spellStart"/>
      <w:r w:rsidRPr="00A51A97">
        <w:rPr>
          <w:rFonts w:ascii="Times New Roman" w:hAnsi="Times New Roman"/>
          <w:spacing w:val="-5"/>
          <w:sz w:val="22"/>
          <w:szCs w:val="22"/>
        </w:rPr>
        <w:t>Springer</w:t>
      </w:r>
      <w:proofErr w:type="spellEnd"/>
      <w:r w:rsidRPr="00A51A97">
        <w:rPr>
          <w:rFonts w:ascii="Times New Roman" w:hAnsi="Times New Roman"/>
          <w:spacing w:val="-5"/>
          <w:sz w:val="22"/>
          <w:szCs w:val="22"/>
        </w:rPr>
        <w:t>, 2009.</w:t>
      </w:r>
    </w:p>
    <w:p w14:paraId="599F2063" w14:textId="50E7788D" w:rsidR="009D023A" w:rsidRPr="009D0629" w:rsidRDefault="009D0629">
      <w:pPr>
        <w:pStyle w:val="P68B1DB1-Normale3"/>
        <w:spacing w:before="240" w:after="120" w:line="220" w:lineRule="exact"/>
        <w:rPr>
          <w:i/>
          <w:smallCaps/>
          <w:lang w:val="en-GB"/>
        </w:rPr>
      </w:pPr>
      <w:r w:rsidRPr="009D0629">
        <w:rPr>
          <w:i/>
          <w:smallCaps/>
          <w:lang w:val="en-GB"/>
        </w:rPr>
        <w:t>TEACHING METHOD</w:t>
      </w:r>
    </w:p>
    <w:p w14:paraId="48AA5041" w14:textId="2E296DB1" w:rsidR="009D023A" w:rsidRPr="004446FF" w:rsidRDefault="00BE58DA" w:rsidP="001B536C">
      <w:pPr>
        <w:pStyle w:val="P68B1DB1-Testo26"/>
        <w:ind w:firstLine="0"/>
        <w:rPr>
          <w:lang w:val="en-GB"/>
        </w:rPr>
      </w:pPr>
      <w:r w:rsidRPr="004446FF">
        <w:rPr>
          <w:lang w:val="en-GB"/>
        </w:rPr>
        <w:t xml:space="preserve">Frontal lectures in which the theoretical discussion </w:t>
      </w:r>
      <w:proofErr w:type="gramStart"/>
      <w:r w:rsidRPr="004446FF">
        <w:rPr>
          <w:lang w:val="en-GB"/>
        </w:rPr>
        <w:t>will be integrated</w:t>
      </w:r>
      <w:proofErr w:type="gramEnd"/>
      <w:r w:rsidRPr="004446FF">
        <w:rPr>
          <w:lang w:val="en-GB"/>
        </w:rPr>
        <w:t xml:space="preserve"> with application examples. The lectures will take place with the support of PowerPoint presentations which will be provided by the </w:t>
      </w:r>
      <w:r w:rsidR="001B536C">
        <w:rPr>
          <w:lang w:val="en-GB"/>
        </w:rPr>
        <w:t>lecturer</w:t>
      </w:r>
      <w:r w:rsidRPr="004446FF">
        <w:rPr>
          <w:lang w:val="en-GB"/>
        </w:rPr>
        <w:t xml:space="preserve"> on the Blackboard platform and which are to be considered an integral part of the teaching material. The course will also include practical laboratory </w:t>
      </w:r>
      <w:r w:rsidR="001B536C">
        <w:rPr>
          <w:lang w:val="en-GB"/>
        </w:rPr>
        <w:t>activities</w:t>
      </w:r>
      <w:r w:rsidRPr="004446FF">
        <w:rPr>
          <w:lang w:val="en-GB"/>
        </w:rPr>
        <w:t xml:space="preserve"> in which the main analytical methods for microbiological control will be illustrated, and which students will then, in groups of 2-3, apply to various types of food. Students are required to fill out forms, provided by the lecturer, with a description of the activities carried out during the </w:t>
      </w:r>
      <w:r w:rsidR="001B536C">
        <w:rPr>
          <w:szCs w:val="22"/>
          <w:lang w:val="en-US"/>
        </w:rPr>
        <w:t>practical activities</w:t>
      </w:r>
      <w:r w:rsidRPr="004446FF">
        <w:rPr>
          <w:lang w:val="en-GB"/>
        </w:rPr>
        <w:t>; these will have to be handed in at the end of the course.</w:t>
      </w:r>
    </w:p>
    <w:p w14:paraId="48D5A2BB" w14:textId="7534E501" w:rsidR="009D023A" w:rsidRPr="009D0629" w:rsidRDefault="009D0629">
      <w:pPr>
        <w:pStyle w:val="P68B1DB1-Normale3"/>
        <w:spacing w:before="240" w:after="120" w:line="220" w:lineRule="exact"/>
        <w:rPr>
          <w:i/>
          <w:lang w:val="en-GB"/>
        </w:rPr>
      </w:pPr>
      <w:r w:rsidRPr="009D0629">
        <w:rPr>
          <w:i/>
          <w:lang w:val="en-GB"/>
        </w:rPr>
        <w:t>ASSESSMENT METHOD AND CRITERIA</w:t>
      </w:r>
    </w:p>
    <w:p w14:paraId="46D0C6F6" w14:textId="77777777" w:rsidR="009D023A" w:rsidRPr="004446FF" w:rsidRDefault="00BE58DA" w:rsidP="001B536C">
      <w:pPr>
        <w:pStyle w:val="P68B1DB1-Testo26"/>
        <w:ind w:firstLine="0"/>
        <w:rPr>
          <w:lang w:val="en-GB"/>
        </w:rPr>
      </w:pPr>
      <w:r w:rsidRPr="004446FF">
        <w:rPr>
          <w:lang w:val="en-GB"/>
        </w:rPr>
        <w:t>A final exam, which the student can choose to take either orally or in written form. The exam consists of at least three questions aimed at ascertaining the student's level of knowledge, understanding and linking skills regarding the topics covered. Students must demonstrate an ability to correctly use the language and scientific terminology of the discipline. The final mark will be based on the average of the marks obtained for each of the questions.</w:t>
      </w:r>
    </w:p>
    <w:p w14:paraId="526D9BD7" w14:textId="044E2068" w:rsidR="009D023A" w:rsidRDefault="009D023A">
      <w:pPr>
        <w:pStyle w:val="Testo2"/>
        <w:rPr>
          <w:rFonts w:ascii="Times New Roman" w:hAnsi="Times New Roman"/>
          <w:sz w:val="22"/>
          <w:lang w:val="en-GB"/>
        </w:rPr>
      </w:pPr>
    </w:p>
    <w:p w14:paraId="443DF9D1" w14:textId="18A59E12" w:rsidR="00531E03" w:rsidRDefault="00531E03">
      <w:pPr>
        <w:pStyle w:val="Testo2"/>
        <w:rPr>
          <w:rFonts w:ascii="Times New Roman" w:hAnsi="Times New Roman"/>
          <w:sz w:val="22"/>
          <w:lang w:val="en-GB"/>
        </w:rPr>
      </w:pPr>
    </w:p>
    <w:p w14:paraId="24ADD588" w14:textId="3BE596B3" w:rsidR="00531E03" w:rsidRDefault="00531E03">
      <w:pPr>
        <w:pStyle w:val="Testo2"/>
        <w:rPr>
          <w:rFonts w:ascii="Times New Roman" w:hAnsi="Times New Roman"/>
          <w:sz w:val="22"/>
          <w:lang w:val="en-GB"/>
        </w:rPr>
      </w:pPr>
    </w:p>
    <w:p w14:paraId="71D33820" w14:textId="77777777" w:rsidR="00531E03" w:rsidRPr="004446FF" w:rsidRDefault="00531E03">
      <w:pPr>
        <w:pStyle w:val="Testo2"/>
        <w:rPr>
          <w:rFonts w:ascii="Times New Roman" w:hAnsi="Times New Roman"/>
          <w:sz w:val="22"/>
          <w:lang w:val="en-GB"/>
        </w:rPr>
      </w:pPr>
    </w:p>
    <w:p w14:paraId="52006417" w14:textId="50265302" w:rsidR="009D023A" w:rsidRPr="009D0629" w:rsidRDefault="009D0629">
      <w:pPr>
        <w:pStyle w:val="P68B1DB1-Testo27"/>
        <w:ind w:firstLine="0"/>
        <w:rPr>
          <w:i/>
          <w:lang w:val="en-GB"/>
        </w:rPr>
      </w:pPr>
      <w:r w:rsidRPr="009D0629">
        <w:rPr>
          <w:i/>
          <w:lang w:val="en-GB"/>
        </w:rPr>
        <w:lastRenderedPageBreak/>
        <w:t>NOTES AND PREREQUISITES</w:t>
      </w:r>
    </w:p>
    <w:p w14:paraId="569E09C6" w14:textId="77777777" w:rsidR="008A2234" w:rsidRPr="00442438" w:rsidRDefault="008A2234">
      <w:pPr>
        <w:pStyle w:val="P68B1DB1-Testo27"/>
        <w:ind w:firstLine="0"/>
        <w:rPr>
          <w:smallCaps/>
          <w:lang w:val="en-GB"/>
        </w:rPr>
      </w:pPr>
    </w:p>
    <w:p w14:paraId="740CB027" w14:textId="77777777" w:rsidR="009D023A" w:rsidRPr="004446FF" w:rsidRDefault="00BE58DA" w:rsidP="001B536C">
      <w:pPr>
        <w:pStyle w:val="P68B1DB1-Testo26"/>
        <w:ind w:firstLine="0"/>
        <w:rPr>
          <w:lang w:val="en-GB"/>
        </w:rPr>
      </w:pPr>
      <w:r w:rsidRPr="004446FF">
        <w:rPr>
          <w:lang w:val="en-GB"/>
        </w:rPr>
        <w:t>Students must possess a basic knowledge of general microbiology. Attendance at lectures, although not compulsory, is recommended. Participation of students in laboratory activities is required.</w:t>
      </w:r>
    </w:p>
    <w:p w14:paraId="2B54AC2E" w14:textId="07F79112" w:rsidR="004A4AE1" w:rsidRDefault="004A4AE1">
      <w:pPr>
        <w:rPr>
          <w:rFonts w:ascii="Times New Roman" w:hAnsi="Times New Roman"/>
          <w:bCs/>
          <w:sz w:val="22"/>
          <w:lang w:val="en-GB"/>
        </w:rPr>
      </w:pPr>
    </w:p>
    <w:p w14:paraId="265EAFC4" w14:textId="74A05D52" w:rsidR="00442438" w:rsidRPr="009D0629" w:rsidRDefault="009D0629" w:rsidP="00442438">
      <w:pPr>
        <w:pStyle w:val="P68B1DB1-Normale3"/>
        <w:spacing w:before="240" w:after="120" w:line="220" w:lineRule="exact"/>
        <w:rPr>
          <w:i/>
          <w:lang w:val="en-GB"/>
        </w:rPr>
      </w:pPr>
      <w:r w:rsidRPr="009D0629">
        <w:rPr>
          <w:i/>
          <w:lang w:val="en-GB"/>
        </w:rPr>
        <w:t>OFFICE HOURS FOR STUDENTS</w:t>
      </w:r>
    </w:p>
    <w:p w14:paraId="3B103ADF" w14:textId="2FF3BD00" w:rsidR="004A4AE1" w:rsidRDefault="00DB2B6F">
      <w:pPr>
        <w:rPr>
          <w:rFonts w:ascii="Times New Roman" w:hAnsi="Times New Roman"/>
          <w:bCs/>
          <w:sz w:val="22"/>
          <w:lang w:val="en-GB"/>
        </w:rPr>
      </w:pPr>
      <w:proofErr w:type="spellStart"/>
      <w:r w:rsidRPr="00DB2B6F">
        <w:rPr>
          <w:rFonts w:ascii="Times New Roman" w:hAnsi="Times New Roman"/>
          <w:bCs/>
          <w:sz w:val="22"/>
          <w:lang w:val="en-GB"/>
        </w:rPr>
        <w:t>Prof.</w:t>
      </w:r>
      <w:proofErr w:type="spellEnd"/>
      <w:r w:rsidRPr="00DB2B6F">
        <w:rPr>
          <w:rFonts w:ascii="Times New Roman" w:hAnsi="Times New Roman"/>
          <w:bCs/>
          <w:sz w:val="22"/>
          <w:lang w:val="en-GB"/>
        </w:rPr>
        <w:t xml:space="preserve"> Vania Patrone is available to meet students at the Department for S</w:t>
      </w:r>
      <w:r w:rsidR="00387E15">
        <w:rPr>
          <w:rFonts w:ascii="Times New Roman" w:hAnsi="Times New Roman"/>
          <w:bCs/>
          <w:sz w:val="22"/>
          <w:lang w:val="en-GB"/>
        </w:rPr>
        <w:t xml:space="preserve">ustainable food process (ex </w:t>
      </w:r>
      <w:proofErr w:type="spellStart"/>
      <w:r w:rsidR="00387E15">
        <w:rPr>
          <w:rFonts w:ascii="Times New Roman" w:hAnsi="Times New Roman"/>
          <w:bCs/>
          <w:sz w:val="22"/>
          <w:lang w:val="en-GB"/>
        </w:rPr>
        <w:t>Istituto</w:t>
      </w:r>
      <w:proofErr w:type="spellEnd"/>
      <w:r w:rsidR="00387E15">
        <w:rPr>
          <w:rFonts w:ascii="Times New Roman" w:hAnsi="Times New Roman"/>
          <w:bCs/>
          <w:sz w:val="22"/>
          <w:lang w:val="en-GB"/>
        </w:rPr>
        <w:t xml:space="preserve"> di </w:t>
      </w:r>
      <w:proofErr w:type="spellStart"/>
      <w:r w:rsidR="00387E15">
        <w:rPr>
          <w:rFonts w:ascii="Times New Roman" w:hAnsi="Times New Roman"/>
          <w:bCs/>
          <w:sz w:val="22"/>
          <w:lang w:val="en-GB"/>
        </w:rPr>
        <w:t>Microbiologia</w:t>
      </w:r>
      <w:proofErr w:type="spellEnd"/>
      <w:r w:rsidR="00387E15">
        <w:rPr>
          <w:rFonts w:ascii="Times New Roman" w:hAnsi="Times New Roman"/>
          <w:bCs/>
          <w:sz w:val="22"/>
          <w:lang w:val="en-GB"/>
        </w:rPr>
        <w:t>).</w:t>
      </w:r>
      <w:r w:rsidRPr="00DB2B6F">
        <w:rPr>
          <w:rFonts w:ascii="Times New Roman" w:hAnsi="Times New Roman"/>
          <w:bCs/>
          <w:sz w:val="22"/>
          <w:lang w:val="en-GB"/>
        </w:rPr>
        <w:t xml:space="preserve"> To schedule a meeting, students should email the professor for an appointment.</w:t>
      </w:r>
    </w:p>
    <w:sectPr w:rsidR="004A4AE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7E4"/>
    <w:multiLevelType w:val="hybridMultilevel"/>
    <w:tmpl w:val="BD98E1F8"/>
    <w:lvl w:ilvl="0" w:tplc="0410000F">
      <w:start w:val="1"/>
      <w:numFmt w:val="decimal"/>
      <w:lvlText w:val="%1."/>
      <w:lvlJc w:val="left"/>
      <w:pPr>
        <w:ind w:left="720" w:hanging="360"/>
      </w:pPr>
    </w:lvl>
    <w:lvl w:ilvl="1" w:tplc="64B255D8">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6"/>
    <w:rsid w:val="0007200A"/>
    <w:rsid w:val="000A45D4"/>
    <w:rsid w:val="000B4FC1"/>
    <w:rsid w:val="000E4B92"/>
    <w:rsid w:val="001066AC"/>
    <w:rsid w:val="001222B5"/>
    <w:rsid w:val="00141153"/>
    <w:rsid w:val="00156F73"/>
    <w:rsid w:val="00191583"/>
    <w:rsid w:val="00192D75"/>
    <w:rsid w:val="001B536C"/>
    <w:rsid w:val="001D2F43"/>
    <w:rsid w:val="001D3DF1"/>
    <w:rsid w:val="001D70A6"/>
    <w:rsid w:val="002140D7"/>
    <w:rsid w:val="0022693C"/>
    <w:rsid w:val="002345B1"/>
    <w:rsid w:val="002514F5"/>
    <w:rsid w:val="00281356"/>
    <w:rsid w:val="00300609"/>
    <w:rsid w:val="00310A08"/>
    <w:rsid w:val="00320040"/>
    <w:rsid w:val="00341790"/>
    <w:rsid w:val="00343A44"/>
    <w:rsid w:val="00387E15"/>
    <w:rsid w:val="003B41E9"/>
    <w:rsid w:val="003C743B"/>
    <w:rsid w:val="003D50D0"/>
    <w:rsid w:val="00421510"/>
    <w:rsid w:val="00431B06"/>
    <w:rsid w:val="00442438"/>
    <w:rsid w:val="004446FF"/>
    <w:rsid w:val="004A4AE1"/>
    <w:rsid w:val="004C18CC"/>
    <w:rsid w:val="005039F4"/>
    <w:rsid w:val="00504DB0"/>
    <w:rsid w:val="0052427E"/>
    <w:rsid w:val="00531E03"/>
    <w:rsid w:val="00567188"/>
    <w:rsid w:val="005802F3"/>
    <w:rsid w:val="005D0B70"/>
    <w:rsid w:val="005D41A3"/>
    <w:rsid w:val="00660F5B"/>
    <w:rsid w:val="00661E49"/>
    <w:rsid w:val="006716E2"/>
    <w:rsid w:val="00677D0E"/>
    <w:rsid w:val="006825AF"/>
    <w:rsid w:val="00684779"/>
    <w:rsid w:val="00685C10"/>
    <w:rsid w:val="00695792"/>
    <w:rsid w:val="006A2FAB"/>
    <w:rsid w:val="006B35C8"/>
    <w:rsid w:val="006B7320"/>
    <w:rsid w:val="007112E9"/>
    <w:rsid w:val="0072173E"/>
    <w:rsid w:val="0075470A"/>
    <w:rsid w:val="0076061B"/>
    <w:rsid w:val="007A0B54"/>
    <w:rsid w:val="00826411"/>
    <w:rsid w:val="00860106"/>
    <w:rsid w:val="0088234A"/>
    <w:rsid w:val="00883147"/>
    <w:rsid w:val="008A2234"/>
    <w:rsid w:val="008C7E39"/>
    <w:rsid w:val="00901BF1"/>
    <w:rsid w:val="00932DDC"/>
    <w:rsid w:val="00933FF4"/>
    <w:rsid w:val="00954EFE"/>
    <w:rsid w:val="00970161"/>
    <w:rsid w:val="00982220"/>
    <w:rsid w:val="009A75E1"/>
    <w:rsid w:val="009C241A"/>
    <w:rsid w:val="009D023A"/>
    <w:rsid w:val="009D0629"/>
    <w:rsid w:val="00A329A8"/>
    <w:rsid w:val="00A51A97"/>
    <w:rsid w:val="00A930D9"/>
    <w:rsid w:val="00AC7DD9"/>
    <w:rsid w:val="00AF4433"/>
    <w:rsid w:val="00B40E98"/>
    <w:rsid w:val="00B734CE"/>
    <w:rsid w:val="00B917FD"/>
    <w:rsid w:val="00BD7765"/>
    <w:rsid w:val="00BE22A1"/>
    <w:rsid w:val="00BE3730"/>
    <w:rsid w:val="00BE58DA"/>
    <w:rsid w:val="00BF1A2E"/>
    <w:rsid w:val="00C214A7"/>
    <w:rsid w:val="00C311E6"/>
    <w:rsid w:val="00C53F7F"/>
    <w:rsid w:val="00C54853"/>
    <w:rsid w:val="00C744E3"/>
    <w:rsid w:val="00CA242E"/>
    <w:rsid w:val="00CB61DA"/>
    <w:rsid w:val="00CC314C"/>
    <w:rsid w:val="00CC7904"/>
    <w:rsid w:val="00D001E9"/>
    <w:rsid w:val="00D165CF"/>
    <w:rsid w:val="00D17B55"/>
    <w:rsid w:val="00D508FB"/>
    <w:rsid w:val="00DA1D95"/>
    <w:rsid w:val="00DA3271"/>
    <w:rsid w:val="00DB2B6F"/>
    <w:rsid w:val="00DB737D"/>
    <w:rsid w:val="00DC3300"/>
    <w:rsid w:val="00DE6CBA"/>
    <w:rsid w:val="00DF2A9B"/>
    <w:rsid w:val="00E37AC0"/>
    <w:rsid w:val="00E61DF7"/>
    <w:rsid w:val="00E638A6"/>
    <w:rsid w:val="00E652EB"/>
    <w:rsid w:val="00E6670F"/>
    <w:rsid w:val="00E771D9"/>
    <w:rsid w:val="00E82792"/>
    <w:rsid w:val="00E8716E"/>
    <w:rsid w:val="00EC0049"/>
    <w:rsid w:val="00EF00E1"/>
    <w:rsid w:val="00F44EEE"/>
    <w:rsid w:val="00F62092"/>
    <w:rsid w:val="00F774AE"/>
    <w:rsid w:val="00F92FD8"/>
    <w:rsid w:val="00FB7BE2"/>
    <w:rsid w:val="00FE6EBE"/>
    <w:rsid w:val="00FF16AF"/>
    <w:rsid w:val="00FF4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A6F7"/>
  <w15:docId w15:val="{13A14F78-0E56-43E9-BF6F-8A709A7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0A6"/>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rPr>
  </w:style>
  <w:style w:type="paragraph" w:styleId="Titolo2">
    <w:name w:val="heading 2"/>
    <w:next w:val="Titolo3"/>
    <w:qFormat/>
    <w:rsid w:val="001D70A6"/>
    <w:pPr>
      <w:spacing w:line="240" w:lineRule="exact"/>
      <w:outlineLvl w:val="1"/>
    </w:pPr>
    <w:rPr>
      <w:rFonts w:ascii="Times" w:eastAsia="Times New Roman" w:hAnsi="Times"/>
      <w:smallCaps/>
      <w:sz w:val="18"/>
    </w:rPr>
  </w:style>
  <w:style w:type="paragraph" w:styleId="Titolo3">
    <w:name w:val="heading 3"/>
    <w:basedOn w:val="Normale"/>
    <w:next w:val="Normale"/>
    <w:qFormat/>
    <w:rsid w:val="001D70A6"/>
    <w:pPr>
      <w:keepNext/>
      <w:spacing w:before="240" w:after="60"/>
      <w:outlineLvl w:val="2"/>
    </w:pPr>
    <w:rPr>
      <w:rFonts w:ascii="Arial" w:hAnsi="Arial" w:cs="Arial"/>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sz w:val="18"/>
    </w:rPr>
  </w:style>
  <w:style w:type="paragraph" w:customStyle="1" w:styleId="Testo2">
    <w:name w:val="Testo 2"/>
    <w:rsid w:val="001D70A6"/>
    <w:pPr>
      <w:spacing w:line="220" w:lineRule="exact"/>
      <w:ind w:firstLine="284"/>
      <w:jc w:val="both"/>
    </w:pPr>
    <w:rPr>
      <w:rFonts w:ascii="Times" w:eastAsia="Times New Roman" w:hAnsi="Times"/>
      <w:sz w:val="18"/>
    </w:rPr>
  </w:style>
  <w:style w:type="character" w:styleId="Collegamentoipertestuale">
    <w:name w:val="Hyperlink"/>
    <w:rsid w:val="001D70A6"/>
    <w:rPr>
      <w:strike w:val="0"/>
      <w:dstrike w:val="0"/>
      <w:color w:val="000000"/>
      <w:u w:val="none"/>
      <w:effect w:val="none"/>
    </w:rPr>
  </w:style>
  <w:style w:type="paragraph" w:customStyle="1" w:styleId="P68B1DB1-Titolo11">
    <w:name w:val="P68B1DB1-Titolo11"/>
    <w:basedOn w:val="Titolo1"/>
    <w:rPr>
      <w:rFonts w:ascii="Times New Roman" w:hAnsi="Times New Roman"/>
      <w:sz w:val="22"/>
    </w:rPr>
  </w:style>
  <w:style w:type="paragraph" w:customStyle="1" w:styleId="P68B1DB1-Titolo22">
    <w:name w:val="P68B1DB1-Titolo22"/>
    <w:basedOn w:val="Titolo2"/>
    <w:rPr>
      <w:rFonts w:ascii="Times New Roman" w:hAnsi="Times New Roman"/>
      <w:sz w:val="22"/>
    </w:rPr>
  </w:style>
  <w:style w:type="paragraph" w:customStyle="1" w:styleId="P68B1DB1-Normale3">
    <w:name w:val="P68B1DB1-Normale3"/>
    <w:basedOn w:val="Normale"/>
    <w:rPr>
      <w:rFonts w:ascii="Times New Roman" w:hAnsi="Times New Roman"/>
      <w:b/>
      <w:sz w:val="22"/>
    </w:rPr>
  </w:style>
  <w:style w:type="paragraph" w:customStyle="1" w:styleId="P68B1DB1-Normale4">
    <w:name w:val="P68B1DB1-Normale4"/>
    <w:basedOn w:val="Normale"/>
    <w:rPr>
      <w:rFonts w:ascii="Times New Roman" w:hAnsi="Times New Roman"/>
      <w:sz w:val="22"/>
    </w:rPr>
  </w:style>
  <w:style w:type="paragraph" w:customStyle="1" w:styleId="P68B1DB1-Testo15">
    <w:name w:val="P68B1DB1-Testo15"/>
    <w:basedOn w:val="Testo1"/>
    <w:rPr>
      <w:rFonts w:ascii="Times New Roman" w:hAnsi="Times New Roman"/>
      <w:sz w:val="22"/>
    </w:rPr>
  </w:style>
  <w:style w:type="paragraph" w:customStyle="1" w:styleId="P68B1DB1-Testo26">
    <w:name w:val="P68B1DB1-Testo26"/>
    <w:basedOn w:val="Testo2"/>
    <w:rPr>
      <w:rFonts w:ascii="Times New Roman" w:hAnsi="Times New Roman"/>
      <w:sz w:val="22"/>
    </w:rPr>
  </w:style>
  <w:style w:type="paragraph" w:customStyle="1" w:styleId="P68B1DB1-Testo27">
    <w:name w:val="P68B1DB1-Testo27"/>
    <w:basedOn w:val="Testo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Biologia dei Microrganismi</vt:lpstr>
    </vt:vector>
  </TitlesOfParts>
  <Company>UCSC Piacenza</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Patrone Vania (vania.patrone)</cp:lastModifiedBy>
  <cp:revision>14</cp:revision>
  <cp:lastPrinted>2018-04-19T10:04:00Z</cp:lastPrinted>
  <dcterms:created xsi:type="dcterms:W3CDTF">2023-05-16T09:26:00Z</dcterms:created>
  <dcterms:modified xsi:type="dcterms:W3CDTF">2023-05-16T12:08:00Z</dcterms:modified>
</cp:coreProperties>
</file>