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3432" w14:textId="1275D863" w:rsidR="00BF042C" w:rsidRPr="00385C08" w:rsidRDefault="00E07364">
      <w:pPr>
        <w:pStyle w:val="P68B1DB1-Normale1"/>
        <w:jc w:val="both"/>
      </w:pPr>
      <w:r w:rsidRPr="00385C08">
        <w:t xml:space="preserve">- Hygiene and HACCP </w:t>
      </w:r>
    </w:p>
    <w:p w14:paraId="05281798" w14:textId="02283F20" w:rsidR="00BF042C" w:rsidRPr="00385C08" w:rsidRDefault="00E07364">
      <w:pPr>
        <w:pStyle w:val="P68B1DB1-Normale2"/>
        <w:jc w:val="both"/>
      </w:pPr>
      <w:r w:rsidRPr="00385C08">
        <w:t>Prof. Marco Delledonne</w:t>
      </w:r>
    </w:p>
    <w:p w14:paraId="5D0A5D3B" w14:textId="1324093F" w:rsidR="00385C08" w:rsidRPr="00385C08" w:rsidRDefault="00385C08" w:rsidP="00385C08">
      <w:pPr>
        <w:rPr>
          <w:b/>
          <w:i/>
          <w:sz w:val="18"/>
          <w:szCs w:val="18"/>
          <w:lang w:val="en-GB"/>
        </w:rPr>
      </w:pPr>
      <w:r w:rsidRPr="009C698C">
        <w:rPr>
          <w:b/>
          <w:i/>
          <w:sz w:val="18"/>
          <w:szCs w:val="18"/>
          <w:lang w:val="en-GB"/>
        </w:rPr>
        <w:t xml:space="preserve">Text under revision. Not yet approved by academic staff. </w:t>
      </w:r>
    </w:p>
    <w:p w14:paraId="6E1DC2E3" w14:textId="77777777" w:rsidR="00BF042C" w:rsidRPr="00E07364" w:rsidRDefault="00E07364">
      <w:pPr>
        <w:pStyle w:val="P68B1DB1-Normale3"/>
        <w:tabs>
          <w:tab w:val="left" w:pos="284"/>
        </w:tabs>
        <w:spacing w:before="240" w:after="120" w:line="240" w:lineRule="exact"/>
        <w:jc w:val="both"/>
        <w:rPr>
          <w:lang w:val="en-GB"/>
        </w:rPr>
      </w:pPr>
      <w:r w:rsidRPr="00E07364">
        <w:rPr>
          <w:lang w:val="en-GB"/>
        </w:rPr>
        <w:t>COURSE AIMS AND INTENDED LEARNING OUTCOMES</w:t>
      </w:r>
    </w:p>
    <w:p w14:paraId="06CA5FCD" w14:textId="77777777" w:rsidR="00BF042C" w:rsidRPr="00E07364" w:rsidRDefault="00E07364">
      <w:pPr>
        <w:pStyle w:val="P68B1DB1-Normale4"/>
        <w:ind w:firstLine="284"/>
        <w:jc w:val="both"/>
        <w:rPr>
          <w:lang w:val="en-GB"/>
        </w:rPr>
      </w:pPr>
      <w:r w:rsidRPr="00E07364">
        <w:rPr>
          <w:lang w:val="en-GB"/>
        </w:rPr>
        <w:t>The course aims to provide students with the basic concepts necessary for conducting risk analyses in primary production and along the entire food chain in accordance with the relevant EU and national legislation. The aim of the course is for students to acquire scientific knowledge of the main microbiological, chemical and physical hazards in human foodstuffs, and to learn the practical application of EU and national food legislation and how to apply this knowledge in the drafting of HACCP manuals according to the Codex Alimentarius criteria.</w:t>
      </w:r>
    </w:p>
    <w:p w14:paraId="1CC9ED27" w14:textId="1EBD5F64" w:rsidR="00BF042C" w:rsidRPr="00E07364" w:rsidRDefault="00E07364">
      <w:pPr>
        <w:pStyle w:val="P68B1DB1-Normale4"/>
        <w:ind w:firstLine="284"/>
        <w:jc w:val="both"/>
        <w:rPr>
          <w:lang w:val="en-GB"/>
        </w:rPr>
      </w:pPr>
      <w:r w:rsidRPr="00E07364">
        <w:rPr>
          <w:lang w:val="en-GB"/>
        </w:rPr>
        <w:t xml:space="preserve">At the end of the course, students will be able to correctly perform a risk assessment and to propose appropriate risk management measures in the food business; they will also be able to draw up a HACCP manual, with particular regard to the prerequisite programmes, the identification of critical points of control (CCP), their monitoring and to the correct implementation of corrective actions. </w:t>
      </w:r>
    </w:p>
    <w:p w14:paraId="099BB50F" w14:textId="77777777" w:rsidR="00BF042C" w:rsidRPr="00E07364" w:rsidRDefault="00E07364">
      <w:pPr>
        <w:pStyle w:val="P68B1DB1-Normale3"/>
        <w:tabs>
          <w:tab w:val="left" w:pos="284"/>
        </w:tabs>
        <w:spacing w:before="240" w:after="120" w:line="240" w:lineRule="exact"/>
        <w:jc w:val="both"/>
        <w:rPr>
          <w:lang w:val="en-GB"/>
        </w:rPr>
      </w:pPr>
      <w:r w:rsidRPr="00E07364">
        <w:rPr>
          <w:lang w:val="en-GB"/>
        </w:rPr>
        <w:t>COURSE CONTENT</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BF042C" w:rsidRPr="00E07364" w14:paraId="611FF73A" w14:textId="77777777">
        <w:trPr>
          <w:trHeight w:val="280"/>
        </w:trPr>
        <w:tc>
          <w:tcPr>
            <w:tcW w:w="7047" w:type="dxa"/>
            <w:shd w:val="clear" w:color="auto" w:fill="auto"/>
          </w:tcPr>
          <w:p w14:paraId="357DA34B" w14:textId="77777777" w:rsidR="00BF042C" w:rsidRPr="00E07364" w:rsidRDefault="00BF042C">
            <w:pPr>
              <w:jc w:val="both"/>
              <w:rPr>
                <w:sz w:val="24"/>
                <w:lang w:val="en-GB"/>
              </w:rPr>
            </w:pPr>
          </w:p>
        </w:tc>
        <w:tc>
          <w:tcPr>
            <w:tcW w:w="1308" w:type="dxa"/>
            <w:shd w:val="clear" w:color="auto" w:fill="auto"/>
          </w:tcPr>
          <w:p w14:paraId="2FEE397B" w14:textId="77777777" w:rsidR="00BF042C" w:rsidRPr="00E07364" w:rsidRDefault="00E07364">
            <w:pPr>
              <w:pStyle w:val="P68B1DB1-Normale5"/>
              <w:jc w:val="both"/>
              <w:rPr>
                <w:lang w:val="en-GB"/>
              </w:rPr>
            </w:pPr>
            <w:r w:rsidRPr="00E07364">
              <w:rPr>
                <w:lang w:val="en-GB"/>
              </w:rPr>
              <w:t>ECTS</w:t>
            </w:r>
          </w:p>
        </w:tc>
      </w:tr>
      <w:tr w:rsidR="00BF042C" w:rsidRPr="001F1A0D" w14:paraId="62458E2F" w14:textId="77777777">
        <w:trPr>
          <w:trHeight w:val="327"/>
        </w:trPr>
        <w:tc>
          <w:tcPr>
            <w:tcW w:w="7047" w:type="dxa"/>
            <w:shd w:val="clear" w:color="auto" w:fill="auto"/>
          </w:tcPr>
          <w:p w14:paraId="225C5A38" w14:textId="27394582" w:rsidR="00BF042C" w:rsidRPr="00E07364" w:rsidRDefault="00E07364">
            <w:pPr>
              <w:pStyle w:val="P68B1DB1-Normale1"/>
              <w:jc w:val="both"/>
              <w:rPr>
                <w:lang w:val="en-GB"/>
              </w:rPr>
            </w:pPr>
            <w:r w:rsidRPr="00E07364">
              <w:rPr>
                <w:lang w:val="en-GB"/>
              </w:rPr>
              <w:t>European legislation on food safety and hygiene</w:t>
            </w:r>
          </w:p>
        </w:tc>
        <w:tc>
          <w:tcPr>
            <w:tcW w:w="1308" w:type="dxa"/>
            <w:shd w:val="clear" w:color="auto" w:fill="auto"/>
          </w:tcPr>
          <w:p w14:paraId="4BFDCA45" w14:textId="77777777" w:rsidR="00BF042C" w:rsidRPr="00E07364" w:rsidRDefault="00BF042C">
            <w:pPr>
              <w:jc w:val="both"/>
              <w:rPr>
                <w:rFonts w:ascii="Times" w:hAnsi="Times"/>
                <w:lang w:val="en-GB"/>
              </w:rPr>
            </w:pPr>
          </w:p>
        </w:tc>
      </w:tr>
      <w:tr w:rsidR="00BF042C" w:rsidRPr="00E07364" w14:paraId="41BE9D5B" w14:textId="77777777">
        <w:trPr>
          <w:trHeight w:val="1136"/>
        </w:trPr>
        <w:tc>
          <w:tcPr>
            <w:tcW w:w="7047" w:type="dxa"/>
            <w:shd w:val="clear" w:color="auto" w:fill="auto"/>
          </w:tcPr>
          <w:p w14:paraId="216C881A" w14:textId="77777777" w:rsidR="00BF042C" w:rsidRPr="00E07364" w:rsidRDefault="00E07364">
            <w:pPr>
              <w:pStyle w:val="P68B1DB1-Normale4"/>
              <w:ind w:left="180"/>
              <w:jc w:val="both"/>
              <w:rPr>
                <w:lang w:val="en-GB"/>
              </w:rPr>
            </w:pPr>
            <w:r w:rsidRPr="00E07364">
              <w:rPr>
                <w:lang w:val="en-GB"/>
              </w:rPr>
              <w:t>Regulation (EC) 178/2002: applicability, definitions, responsibilities, traceability and retraceability of food, early warning system, European Food Safety Authority (EFSA); Regulation (EC) 852/2004 on food hygiene and Regulation (EC) 853/2004 on the hygiene of products of animal origin.</w:t>
            </w:r>
          </w:p>
        </w:tc>
        <w:tc>
          <w:tcPr>
            <w:tcW w:w="1308" w:type="dxa"/>
            <w:shd w:val="clear" w:color="auto" w:fill="auto"/>
          </w:tcPr>
          <w:p w14:paraId="5BAE1DEB" w14:textId="77777777" w:rsidR="00BF042C" w:rsidRPr="00E07364" w:rsidRDefault="00E07364">
            <w:pPr>
              <w:pStyle w:val="P68B1DB1-Normale4"/>
              <w:jc w:val="both"/>
              <w:rPr>
                <w:lang w:val="en-GB"/>
              </w:rPr>
            </w:pPr>
            <w:r w:rsidRPr="00E07364">
              <w:rPr>
                <w:lang w:val="en-GB"/>
              </w:rPr>
              <w:t>1.0</w:t>
            </w:r>
          </w:p>
        </w:tc>
      </w:tr>
      <w:tr w:rsidR="00BF042C" w:rsidRPr="00E07364" w14:paraId="3467972C" w14:textId="77777777">
        <w:trPr>
          <w:trHeight w:val="561"/>
        </w:trPr>
        <w:tc>
          <w:tcPr>
            <w:tcW w:w="7047" w:type="dxa"/>
            <w:shd w:val="clear" w:color="auto" w:fill="auto"/>
          </w:tcPr>
          <w:p w14:paraId="48A795DB" w14:textId="77777777" w:rsidR="00BF042C" w:rsidRPr="00E07364" w:rsidRDefault="00E07364">
            <w:pPr>
              <w:pStyle w:val="P68B1DB1-Normale4"/>
              <w:ind w:left="180"/>
              <w:jc w:val="both"/>
              <w:rPr>
                <w:lang w:val="en-GB"/>
              </w:rPr>
            </w:pPr>
            <w:r w:rsidRPr="00E07364">
              <w:rPr>
                <w:lang w:val="en-GB"/>
              </w:rPr>
              <w:t>Regulation (EU) 2017/625: Competent Authorities, Control Bodies, registration methods and recognition of companies in the food sector.</w:t>
            </w:r>
          </w:p>
        </w:tc>
        <w:tc>
          <w:tcPr>
            <w:tcW w:w="1308" w:type="dxa"/>
            <w:shd w:val="clear" w:color="auto" w:fill="auto"/>
          </w:tcPr>
          <w:p w14:paraId="602CDEAE" w14:textId="77777777" w:rsidR="00BF042C" w:rsidRPr="00E07364" w:rsidRDefault="00E07364">
            <w:pPr>
              <w:pStyle w:val="P68B1DB1-Normale4"/>
              <w:jc w:val="both"/>
              <w:rPr>
                <w:lang w:val="en-GB"/>
              </w:rPr>
            </w:pPr>
            <w:r w:rsidRPr="00E07364">
              <w:rPr>
                <w:lang w:val="en-GB"/>
              </w:rPr>
              <w:t>0.5</w:t>
            </w:r>
          </w:p>
        </w:tc>
      </w:tr>
      <w:tr w:rsidR="00BF042C" w:rsidRPr="001F1A0D" w14:paraId="4C317E01" w14:textId="77777777">
        <w:trPr>
          <w:trHeight w:val="386"/>
        </w:trPr>
        <w:tc>
          <w:tcPr>
            <w:tcW w:w="7047" w:type="dxa"/>
            <w:shd w:val="clear" w:color="auto" w:fill="auto"/>
          </w:tcPr>
          <w:p w14:paraId="051F4449" w14:textId="5B2C59DA" w:rsidR="00BF042C" w:rsidRPr="00E07364" w:rsidRDefault="00E07364">
            <w:pPr>
              <w:pStyle w:val="P68B1DB1-Normale1"/>
              <w:jc w:val="both"/>
              <w:rPr>
                <w:lang w:val="en-GB"/>
              </w:rPr>
            </w:pPr>
            <w:r w:rsidRPr="00E07364">
              <w:rPr>
                <w:lang w:val="en-GB"/>
              </w:rPr>
              <w:t>Microbiological, chemical and physical hazards in human foods</w:t>
            </w:r>
          </w:p>
        </w:tc>
        <w:tc>
          <w:tcPr>
            <w:tcW w:w="1308" w:type="dxa"/>
            <w:shd w:val="clear" w:color="auto" w:fill="auto"/>
          </w:tcPr>
          <w:p w14:paraId="1B8B5B12" w14:textId="77777777" w:rsidR="00BF042C" w:rsidRPr="00E07364" w:rsidRDefault="00BF042C">
            <w:pPr>
              <w:jc w:val="both"/>
              <w:rPr>
                <w:rFonts w:ascii="Times" w:hAnsi="Times"/>
                <w:lang w:val="en-GB"/>
              </w:rPr>
            </w:pPr>
          </w:p>
        </w:tc>
      </w:tr>
      <w:tr w:rsidR="00BF042C" w:rsidRPr="00E07364" w14:paraId="58AE673E" w14:textId="77777777">
        <w:trPr>
          <w:trHeight w:val="986"/>
        </w:trPr>
        <w:tc>
          <w:tcPr>
            <w:tcW w:w="7047" w:type="dxa"/>
            <w:shd w:val="clear" w:color="auto" w:fill="auto"/>
          </w:tcPr>
          <w:p w14:paraId="21BBDC9C" w14:textId="77777777" w:rsidR="00BF042C" w:rsidRPr="00E07364" w:rsidRDefault="00E07364">
            <w:pPr>
              <w:pStyle w:val="P68B1DB1-Normale4"/>
              <w:ind w:left="180"/>
              <w:jc w:val="both"/>
              <w:rPr>
                <w:lang w:val="en-GB"/>
              </w:rPr>
            </w:pPr>
            <w:r w:rsidRPr="00E07364">
              <w:rPr>
                <w:lang w:val="en-GB"/>
              </w:rPr>
              <w:t>Identification and examination of the main risks of microbiological, parasitological, chemical and physical origin in food.</w:t>
            </w:r>
          </w:p>
          <w:p w14:paraId="3F0B03E5" w14:textId="77777777" w:rsidR="00BF042C" w:rsidRPr="00E07364" w:rsidRDefault="00E07364">
            <w:pPr>
              <w:pStyle w:val="P68B1DB1-Normale4"/>
              <w:ind w:left="180"/>
              <w:jc w:val="both"/>
              <w:rPr>
                <w:lang w:val="en-GB"/>
              </w:rPr>
            </w:pPr>
            <w:r w:rsidRPr="00E07364">
              <w:rPr>
                <w:lang w:val="en-GB"/>
              </w:rPr>
              <w:t xml:space="preserve">Regulation (EC) 2073/2005 and subsequent amendments on microbiological criteria applicable to food products. </w:t>
            </w:r>
          </w:p>
        </w:tc>
        <w:tc>
          <w:tcPr>
            <w:tcW w:w="1308" w:type="dxa"/>
            <w:shd w:val="clear" w:color="auto" w:fill="auto"/>
          </w:tcPr>
          <w:p w14:paraId="24A13D03" w14:textId="77777777" w:rsidR="00BF042C" w:rsidRPr="00E07364" w:rsidRDefault="00E07364">
            <w:pPr>
              <w:pStyle w:val="P68B1DB1-Normale4"/>
              <w:jc w:val="both"/>
              <w:rPr>
                <w:lang w:val="en-GB"/>
              </w:rPr>
            </w:pPr>
            <w:r w:rsidRPr="00E07364">
              <w:rPr>
                <w:lang w:val="en-GB"/>
              </w:rPr>
              <w:t>1.5</w:t>
            </w:r>
          </w:p>
        </w:tc>
      </w:tr>
      <w:tr w:rsidR="00BF042C" w:rsidRPr="001F1A0D" w14:paraId="32741182" w14:textId="77777777">
        <w:trPr>
          <w:trHeight w:val="547"/>
        </w:trPr>
        <w:tc>
          <w:tcPr>
            <w:tcW w:w="7047" w:type="dxa"/>
            <w:shd w:val="clear" w:color="auto" w:fill="auto"/>
          </w:tcPr>
          <w:p w14:paraId="35BB967B" w14:textId="4F7FE0ED" w:rsidR="00BF042C" w:rsidRPr="00E07364" w:rsidRDefault="00E07364">
            <w:pPr>
              <w:pStyle w:val="P68B1DB1-Normale1"/>
              <w:jc w:val="both"/>
              <w:rPr>
                <w:lang w:val="en-GB"/>
              </w:rPr>
            </w:pPr>
            <w:r w:rsidRPr="00E07364">
              <w:rPr>
                <w:lang w:val="en-GB"/>
              </w:rPr>
              <w:t>Recommended international code of general practices and principles of food hygiene (HACCP according to the Codex Alimentarius)</w:t>
            </w:r>
          </w:p>
        </w:tc>
        <w:tc>
          <w:tcPr>
            <w:tcW w:w="1308" w:type="dxa"/>
            <w:shd w:val="clear" w:color="auto" w:fill="auto"/>
          </w:tcPr>
          <w:p w14:paraId="7888C82B" w14:textId="77777777" w:rsidR="00BF042C" w:rsidRPr="00E07364" w:rsidRDefault="00BF042C">
            <w:pPr>
              <w:jc w:val="both"/>
              <w:rPr>
                <w:rFonts w:ascii="Times" w:hAnsi="Times"/>
                <w:lang w:val="en-GB"/>
              </w:rPr>
            </w:pPr>
          </w:p>
        </w:tc>
      </w:tr>
      <w:tr w:rsidR="00BF042C" w:rsidRPr="00E07364" w14:paraId="4570CE37" w14:textId="77777777">
        <w:trPr>
          <w:trHeight w:val="285"/>
        </w:trPr>
        <w:tc>
          <w:tcPr>
            <w:tcW w:w="7047" w:type="dxa"/>
            <w:shd w:val="clear" w:color="auto" w:fill="auto"/>
          </w:tcPr>
          <w:p w14:paraId="29D073AE" w14:textId="77777777" w:rsidR="00BF042C" w:rsidRPr="00E07364" w:rsidRDefault="00E07364">
            <w:pPr>
              <w:pStyle w:val="P68B1DB1-Normale4"/>
              <w:ind w:left="180"/>
              <w:jc w:val="both"/>
              <w:rPr>
                <w:lang w:val="en-GB"/>
              </w:rPr>
            </w:pPr>
            <w:r w:rsidRPr="00E07364">
              <w:rPr>
                <w:lang w:val="en-GB"/>
              </w:rPr>
              <w:t>Prerequisites, principles of HACCP and Guidelines.</w:t>
            </w:r>
          </w:p>
        </w:tc>
        <w:tc>
          <w:tcPr>
            <w:tcW w:w="1308" w:type="dxa"/>
            <w:shd w:val="clear" w:color="auto" w:fill="auto"/>
          </w:tcPr>
          <w:p w14:paraId="3CF2B0AE" w14:textId="77777777" w:rsidR="00BF042C" w:rsidRPr="00E07364" w:rsidRDefault="00E07364">
            <w:pPr>
              <w:pStyle w:val="P68B1DB1-Normale4"/>
              <w:jc w:val="both"/>
              <w:rPr>
                <w:lang w:val="en-GB"/>
              </w:rPr>
            </w:pPr>
            <w:r w:rsidRPr="00E07364">
              <w:rPr>
                <w:lang w:val="en-GB"/>
              </w:rPr>
              <w:t>1.0</w:t>
            </w:r>
          </w:p>
        </w:tc>
      </w:tr>
      <w:tr w:rsidR="00BF042C" w:rsidRPr="00E07364" w14:paraId="1EC4ACB5" w14:textId="77777777">
        <w:trPr>
          <w:trHeight w:val="273"/>
        </w:trPr>
        <w:tc>
          <w:tcPr>
            <w:tcW w:w="7047" w:type="dxa"/>
            <w:shd w:val="clear" w:color="auto" w:fill="auto"/>
          </w:tcPr>
          <w:p w14:paraId="13A3E701" w14:textId="26E7D73F" w:rsidR="00BF042C" w:rsidRPr="00E07364" w:rsidRDefault="00E07364">
            <w:pPr>
              <w:pStyle w:val="P68B1DB1-Normale1"/>
              <w:ind w:left="14"/>
              <w:jc w:val="both"/>
              <w:rPr>
                <w:lang w:val="en-GB"/>
              </w:rPr>
            </w:pPr>
            <w:r w:rsidRPr="00E07364">
              <w:rPr>
                <w:lang w:val="en-GB"/>
              </w:rPr>
              <w:t>Food sampling criteria</w:t>
            </w:r>
          </w:p>
        </w:tc>
        <w:tc>
          <w:tcPr>
            <w:tcW w:w="1308" w:type="dxa"/>
            <w:shd w:val="clear" w:color="auto" w:fill="auto"/>
          </w:tcPr>
          <w:p w14:paraId="11E1CEBC" w14:textId="77777777" w:rsidR="00BF042C" w:rsidRPr="00E07364" w:rsidRDefault="00BF042C">
            <w:pPr>
              <w:jc w:val="both"/>
              <w:rPr>
                <w:rFonts w:ascii="Times" w:hAnsi="Times"/>
                <w:lang w:val="en-GB"/>
              </w:rPr>
            </w:pPr>
          </w:p>
        </w:tc>
      </w:tr>
      <w:tr w:rsidR="00BF042C" w:rsidRPr="00E07364" w14:paraId="29278FEF" w14:textId="77777777">
        <w:trPr>
          <w:trHeight w:val="576"/>
        </w:trPr>
        <w:tc>
          <w:tcPr>
            <w:tcW w:w="7047" w:type="dxa"/>
            <w:shd w:val="clear" w:color="auto" w:fill="auto"/>
          </w:tcPr>
          <w:p w14:paraId="7A226E3F" w14:textId="1681FAA6" w:rsidR="00BF042C" w:rsidRPr="00E07364" w:rsidRDefault="00E07364">
            <w:pPr>
              <w:pStyle w:val="P68B1DB1-Normale4"/>
              <w:ind w:left="180"/>
              <w:jc w:val="both"/>
              <w:rPr>
                <w:lang w:val="en-GB"/>
              </w:rPr>
            </w:pPr>
            <w:r w:rsidRPr="00E07364">
              <w:rPr>
                <w:lang w:val="en-GB"/>
              </w:rPr>
              <w:t>European Legislation, Law 283/1962, Presidential Decree 327/1980 (official sampling) and Legislative Decree 27/2021 with the institution of the second opinion</w:t>
            </w:r>
            <w:r>
              <w:rPr>
                <w:lang w:val="en-GB"/>
              </w:rPr>
              <w:t>.</w:t>
            </w:r>
            <w:r w:rsidRPr="00E07364">
              <w:rPr>
                <w:lang w:val="en-GB"/>
              </w:rPr>
              <w:t xml:space="preserve"> </w:t>
            </w:r>
          </w:p>
        </w:tc>
        <w:tc>
          <w:tcPr>
            <w:tcW w:w="1308" w:type="dxa"/>
            <w:shd w:val="clear" w:color="auto" w:fill="auto"/>
          </w:tcPr>
          <w:p w14:paraId="15EC6691" w14:textId="77777777" w:rsidR="00BF042C" w:rsidRPr="00E07364" w:rsidRDefault="00E07364">
            <w:pPr>
              <w:pStyle w:val="P68B1DB1-Normale4"/>
              <w:jc w:val="both"/>
              <w:rPr>
                <w:lang w:val="en-GB"/>
              </w:rPr>
            </w:pPr>
            <w:r w:rsidRPr="00E07364">
              <w:rPr>
                <w:lang w:val="en-GB"/>
              </w:rPr>
              <w:t>0.5</w:t>
            </w:r>
          </w:p>
        </w:tc>
      </w:tr>
      <w:tr w:rsidR="00BF042C" w:rsidRPr="00E07364" w14:paraId="0BC8D5F8" w14:textId="77777777">
        <w:trPr>
          <w:trHeight w:val="331"/>
        </w:trPr>
        <w:tc>
          <w:tcPr>
            <w:tcW w:w="7047" w:type="dxa"/>
            <w:shd w:val="clear" w:color="auto" w:fill="auto"/>
          </w:tcPr>
          <w:p w14:paraId="6DC993B2" w14:textId="77E4D10A" w:rsidR="00BF042C" w:rsidRPr="00E07364" w:rsidRDefault="00E07364">
            <w:pPr>
              <w:pStyle w:val="P68B1DB1-Normale1"/>
              <w:ind w:left="42"/>
              <w:jc w:val="both"/>
              <w:rPr>
                <w:lang w:val="en-GB"/>
              </w:rPr>
            </w:pPr>
            <w:r w:rsidRPr="00E07364">
              <w:rPr>
                <w:lang w:val="en-GB"/>
              </w:rPr>
              <w:t>Food labelling and packaging</w:t>
            </w:r>
          </w:p>
        </w:tc>
        <w:tc>
          <w:tcPr>
            <w:tcW w:w="1308" w:type="dxa"/>
            <w:shd w:val="clear" w:color="auto" w:fill="auto"/>
          </w:tcPr>
          <w:p w14:paraId="693405A1" w14:textId="77777777" w:rsidR="00BF042C" w:rsidRPr="00E07364" w:rsidRDefault="00BF042C">
            <w:pPr>
              <w:jc w:val="both"/>
              <w:rPr>
                <w:rFonts w:ascii="Times" w:hAnsi="Times"/>
                <w:lang w:val="en-GB"/>
              </w:rPr>
            </w:pPr>
          </w:p>
        </w:tc>
      </w:tr>
      <w:tr w:rsidR="00BF042C" w:rsidRPr="00E07364" w14:paraId="4A835109" w14:textId="77777777">
        <w:trPr>
          <w:trHeight w:val="311"/>
        </w:trPr>
        <w:tc>
          <w:tcPr>
            <w:tcW w:w="7047" w:type="dxa"/>
            <w:shd w:val="clear" w:color="auto" w:fill="auto"/>
          </w:tcPr>
          <w:p w14:paraId="32C554D3" w14:textId="77777777" w:rsidR="00BF042C" w:rsidRPr="00E07364" w:rsidRDefault="00E07364">
            <w:pPr>
              <w:pStyle w:val="P68B1DB1-Normale4"/>
              <w:ind w:left="180"/>
              <w:jc w:val="both"/>
              <w:rPr>
                <w:lang w:val="en-GB"/>
              </w:rPr>
            </w:pPr>
            <w:r w:rsidRPr="00E07364">
              <w:rPr>
                <w:lang w:val="en-GB"/>
              </w:rPr>
              <w:t>Regulation (EU) 1169/2011 and the sanction decree.</w:t>
            </w:r>
          </w:p>
        </w:tc>
        <w:tc>
          <w:tcPr>
            <w:tcW w:w="1308" w:type="dxa"/>
            <w:shd w:val="clear" w:color="auto" w:fill="auto"/>
          </w:tcPr>
          <w:p w14:paraId="5753F24D" w14:textId="77777777" w:rsidR="00BF042C" w:rsidRPr="00E07364" w:rsidRDefault="00E07364">
            <w:pPr>
              <w:pStyle w:val="P68B1DB1-Normale4"/>
              <w:jc w:val="both"/>
              <w:rPr>
                <w:lang w:val="en-GB"/>
              </w:rPr>
            </w:pPr>
            <w:r w:rsidRPr="00E07364">
              <w:rPr>
                <w:lang w:val="en-GB"/>
              </w:rPr>
              <w:t>0.5</w:t>
            </w:r>
          </w:p>
        </w:tc>
      </w:tr>
      <w:tr w:rsidR="00BF042C" w:rsidRPr="00E07364" w14:paraId="4FC9B962" w14:textId="77777777">
        <w:trPr>
          <w:trHeight w:val="311"/>
        </w:trPr>
        <w:tc>
          <w:tcPr>
            <w:tcW w:w="7047" w:type="dxa"/>
            <w:shd w:val="clear" w:color="auto" w:fill="auto"/>
          </w:tcPr>
          <w:p w14:paraId="2AC890AD" w14:textId="203470E2" w:rsidR="00BF042C" w:rsidRPr="00E07364" w:rsidRDefault="00E07364">
            <w:pPr>
              <w:pStyle w:val="P68B1DB1-Normale1"/>
              <w:ind w:left="56"/>
              <w:jc w:val="both"/>
              <w:rPr>
                <w:lang w:val="en-GB"/>
              </w:rPr>
            </w:pPr>
            <w:r w:rsidRPr="00E07364">
              <w:rPr>
                <w:lang w:val="en-GB"/>
              </w:rPr>
              <w:t>Animal by-products</w:t>
            </w:r>
          </w:p>
        </w:tc>
        <w:tc>
          <w:tcPr>
            <w:tcW w:w="1308" w:type="dxa"/>
            <w:shd w:val="clear" w:color="auto" w:fill="auto"/>
          </w:tcPr>
          <w:p w14:paraId="6B62FE7C" w14:textId="77777777" w:rsidR="00BF042C" w:rsidRPr="00E07364" w:rsidRDefault="00BF042C">
            <w:pPr>
              <w:jc w:val="both"/>
              <w:rPr>
                <w:rFonts w:ascii="Times" w:hAnsi="Times"/>
                <w:lang w:val="en-GB"/>
              </w:rPr>
            </w:pPr>
          </w:p>
        </w:tc>
      </w:tr>
      <w:tr w:rsidR="00BF042C" w:rsidRPr="00E07364" w14:paraId="69B15217" w14:textId="77777777">
        <w:trPr>
          <w:trHeight w:val="311"/>
        </w:trPr>
        <w:tc>
          <w:tcPr>
            <w:tcW w:w="7047" w:type="dxa"/>
            <w:shd w:val="clear" w:color="auto" w:fill="auto"/>
          </w:tcPr>
          <w:p w14:paraId="08D9B275" w14:textId="77777777" w:rsidR="00BF042C" w:rsidRPr="00E07364" w:rsidRDefault="00E07364">
            <w:pPr>
              <w:pStyle w:val="P68B1DB1-Normale4"/>
              <w:ind w:left="196"/>
              <w:jc w:val="both"/>
              <w:rPr>
                <w:lang w:val="en-GB"/>
              </w:rPr>
            </w:pPr>
            <w:r w:rsidRPr="00E07364">
              <w:rPr>
                <w:lang w:val="en-GB"/>
              </w:rPr>
              <w:t>Regulation (EC) 1069/2009: the management of animal by-products.</w:t>
            </w:r>
          </w:p>
        </w:tc>
        <w:tc>
          <w:tcPr>
            <w:tcW w:w="1308" w:type="dxa"/>
            <w:shd w:val="clear" w:color="auto" w:fill="auto"/>
          </w:tcPr>
          <w:p w14:paraId="229FDB6B" w14:textId="77777777" w:rsidR="00BF042C" w:rsidRPr="00E07364" w:rsidRDefault="00E07364">
            <w:pPr>
              <w:pStyle w:val="P68B1DB1-Normale4"/>
              <w:jc w:val="both"/>
              <w:rPr>
                <w:lang w:val="en-GB"/>
              </w:rPr>
            </w:pPr>
            <w:r w:rsidRPr="00E07364">
              <w:rPr>
                <w:lang w:val="en-GB"/>
              </w:rPr>
              <w:t>0.5</w:t>
            </w:r>
          </w:p>
        </w:tc>
      </w:tr>
      <w:tr w:rsidR="00BF042C" w:rsidRPr="001F1A0D" w14:paraId="58B06E96" w14:textId="77777777">
        <w:trPr>
          <w:trHeight w:val="311"/>
        </w:trPr>
        <w:tc>
          <w:tcPr>
            <w:tcW w:w="7047" w:type="dxa"/>
            <w:shd w:val="clear" w:color="auto" w:fill="auto"/>
          </w:tcPr>
          <w:p w14:paraId="52A71B5D" w14:textId="16DB5882" w:rsidR="00BF042C" w:rsidRPr="00E07364" w:rsidRDefault="00E07364">
            <w:pPr>
              <w:pStyle w:val="P68B1DB1-Normale1"/>
              <w:ind w:left="70"/>
              <w:jc w:val="both"/>
              <w:rPr>
                <w:lang w:val="en-GB"/>
              </w:rPr>
            </w:pPr>
            <w:r w:rsidRPr="00E07364">
              <w:rPr>
                <w:lang w:val="en-GB"/>
              </w:rPr>
              <w:t>Crimes and administrative sanctions in the food sector</w:t>
            </w:r>
          </w:p>
        </w:tc>
        <w:tc>
          <w:tcPr>
            <w:tcW w:w="1308" w:type="dxa"/>
            <w:shd w:val="clear" w:color="auto" w:fill="auto"/>
          </w:tcPr>
          <w:p w14:paraId="6FD1A4E9" w14:textId="77777777" w:rsidR="00BF042C" w:rsidRPr="00E07364" w:rsidRDefault="00BF042C">
            <w:pPr>
              <w:jc w:val="both"/>
              <w:rPr>
                <w:rFonts w:ascii="Times" w:hAnsi="Times"/>
                <w:lang w:val="en-GB"/>
              </w:rPr>
            </w:pPr>
          </w:p>
        </w:tc>
      </w:tr>
      <w:tr w:rsidR="00BF042C" w:rsidRPr="00E07364" w14:paraId="3E71159F" w14:textId="77777777">
        <w:trPr>
          <w:trHeight w:val="311"/>
        </w:trPr>
        <w:tc>
          <w:tcPr>
            <w:tcW w:w="7047" w:type="dxa"/>
            <w:shd w:val="clear" w:color="auto" w:fill="auto"/>
          </w:tcPr>
          <w:p w14:paraId="038F58B9" w14:textId="77777777" w:rsidR="00BF042C" w:rsidRPr="00E07364" w:rsidRDefault="00E07364">
            <w:pPr>
              <w:pStyle w:val="P68B1DB1-Normale4"/>
              <w:ind w:left="196"/>
              <w:jc w:val="both"/>
              <w:rPr>
                <w:lang w:val="en-GB"/>
              </w:rPr>
            </w:pPr>
            <w:r w:rsidRPr="00E07364">
              <w:rPr>
                <w:lang w:val="en-GB"/>
              </w:rPr>
              <w:t>Identification of the main criminal violations and brief notes on the management of administrative sanctions in the food sector.</w:t>
            </w:r>
          </w:p>
        </w:tc>
        <w:tc>
          <w:tcPr>
            <w:tcW w:w="1308" w:type="dxa"/>
            <w:shd w:val="clear" w:color="auto" w:fill="auto"/>
          </w:tcPr>
          <w:p w14:paraId="2D4B57B9" w14:textId="77777777" w:rsidR="00BF042C" w:rsidRPr="00E07364" w:rsidRDefault="00E07364">
            <w:pPr>
              <w:pStyle w:val="P68B1DB1-Normale4"/>
              <w:jc w:val="both"/>
              <w:rPr>
                <w:lang w:val="en-GB"/>
              </w:rPr>
            </w:pPr>
            <w:r w:rsidRPr="00E07364">
              <w:rPr>
                <w:lang w:val="en-GB"/>
              </w:rPr>
              <w:t>0.5</w:t>
            </w:r>
          </w:p>
        </w:tc>
      </w:tr>
    </w:tbl>
    <w:p w14:paraId="13573E32" w14:textId="77777777" w:rsidR="00BF042C" w:rsidRPr="00E07364" w:rsidRDefault="00BF042C">
      <w:pPr>
        <w:spacing w:before="240" w:after="120"/>
        <w:ind w:left="2835" w:hanging="2835"/>
        <w:jc w:val="both"/>
        <w:rPr>
          <w:rFonts w:ascii="Times" w:hAnsi="Times"/>
          <w:b/>
          <w:i/>
          <w:lang w:val="en-GB"/>
        </w:rPr>
      </w:pPr>
    </w:p>
    <w:p w14:paraId="14F9B7F1" w14:textId="77777777" w:rsidR="00BF042C" w:rsidRPr="00E07364" w:rsidRDefault="00E07364">
      <w:pPr>
        <w:pStyle w:val="P68B1DB1-Normale6"/>
        <w:rPr>
          <w:lang w:val="en-GB"/>
        </w:rPr>
      </w:pPr>
      <w:r w:rsidRPr="00E07364">
        <w:rPr>
          <w:lang w:val="en-GB"/>
        </w:rPr>
        <w:br w:type="page"/>
      </w:r>
    </w:p>
    <w:p w14:paraId="4B125FBB" w14:textId="77777777" w:rsidR="00BF042C" w:rsidRPr="00E07364" w:rsidRDefault="00E07364">
      <w:pPr>
        <w:pStyle w:val="P68B1DB1-Normale6"/>
        <w:spacing w:before="240" w:after="120"/>
        <w:ind w:left="2835" w:hanging="2835"/>
        <w:jc w:val="both"/>
        <w:rPr>
          <w:lang w:val="en-GB"/>
        </w:rPr>
      </w:pPr>
      <w:r w:rsidRPr="00E07364">
        <w:rPr>
          <w:lang w:val="en-GB"/>
        </w:rPr>
        <w:lastRenderedPageBreak/>
        <w:t>READING LIST</w:t>
      </w:r>
    </w:p>
    <w:p w14:paraId="1AEF7834" w14:textId="77777777" w:rsidR="00BF042C" w:rsidRPr="00385C08" w:rsidRDefault="00E07364">
      <w:pPr>
        <w:spacing w:before="120"/>
        <w:jc w:val="both"/>
      </w:pPr>
      <w:r w:rsidRPr="00385C08">
        <w:rPr>
          <w:smallCaps/>
        </w:rPr>
        <w:t>M. Delledonne</w:t>
      </w:r>
      <w:r w:rsidRPr="00385C08">
        <w:rPr>
          <w:i/>
        </w:rPr>
        <w:t>,  Manuale di analisi del rischio alimentare</w:t>
      </w:r>
      <w:r w:rsidRPr="00385C08">
        <w:t>, 2019, Ed. Amazon ISBN 9781093113297</w:t>
      </w:r>
    </w:p>
    <w:p w14:paraId="6FE3329D" w14:textId="77777777" w:rsidR="00BF042C" w:rsidRPr="00385C08" w:rsidRDefault="00E07364">
      <w:pPr>
        <w:spacing w:before="120"/>
        <w:jc w:val="both"/>
      </w:pPr>
      <w:r w:rsidRPr="00385C08">
        <w:rPr>
          <w:smallCaps/>
        </w:rPr>
        <w:t>M. Delledonne</w:t>
      </w:r>
      <w:r w:rsidRPr="00385C08">
        <w:t xml:space="preserve">, </w:t>
      </w:r>
      <w:r w:rsidRPr="00385C08">
        <w:rPr>
          <w:i/>
        </w:rPr>
        <w:t>L’etichettatura dei prodotti alimentari</w:t>
      </w:r>
      <w:r w:rsidRPr="00385C08">
        <w:t>, 2019, Edito Amazon ISBN 9781793223302</w:t>
      </w:r>
    </w:p>
    <w:p w14:paraId="7A199510" w14:textId="77777777" w:rsidR="00BF042C" w:rsidRPr="00E07364" w:rsidRDefault="00E07364">
      <w:pPr>
        <w:pStyle w:val="P68B1DB1-Normale6"/>
        <w:tabs>
          <w:tab w:val="left" w:pos="1560"/>
        </w:tabs>
        <w:spacing w:before="240" w:after="120"/>
        <w:jc w:val="both"/>
        <w:rPr>
          <w:lang w:val="en-GB"/>
        </w:rPr>
      </w:pPr>
      <w:r w:rsidRPr="00E07364">
        <w:rPr>
          <w:lang w:val="en-GB"/>
        </w:rPr>
        <w:t>TEACHING METHOD</w:t>
      </w:r>
    </w:p>
    <w:p w14:paraId="42787389" w14:textId="3D1C913E" w:rsidR="00BF042C" w:rsidRPr="00E07364" w:rsidRDefault="00E07364">
      <w:pPr>
        <w:pStyle w:val="P68B1DB1-Normale4"/>
        <w:spacing w:before="120"/>
        <w:ind w:firstLine="284"/>
        <w:jc w:val="both"/>
        <w:rPr>
          <w:lang w:val="en-GB"/>
        </w:rPr>
      </w:pPr>
      <w:r w:rsidRPr="00E07364">
        <w:rPr>
          <w:lang w:val="en-GB"/>
        </w:rPr>
        <w:t xml:space="preserve">Theoretical frontal and dialogical lectures using PowerPoint presentations to present the theoretical concepts of the covered topics, alternated with practical </w:t>
      </w:r>
      <w:r w:rsidR="001F1A0D">
        <w:rPr>
          <w:lang w:val="en-GB"/>
        </w:rPr>
        <w:t>activities</w:t>
      </w:r>
      <w:r w:rsidRPr="00E07364">
        <w:rPr>
          <w:lang w:val="en-GB"/>
        </w:rPr>
        <w:t xml:space="preserve"> and simulations of real cases. The slides are considered an integral part of the reference reading list and will be uploaded to the </w:t>
      </w:r>
      <w:r w:rsidR="001F1A0D">
        <w:rPr>
          <w:lang w:val="en-GB"/>
        </w:rPr>
        <w:t>B</w:t>
      </w:r>
      <w:r w:rsidRPr="00E07364">
        <w:rPr>
          <w:lang w:val="en-GB"/>
        </w:rPr>
        <w:t>lackboard platform.</w:t>
      </w:r>
    </w:p>
    <w:p w14:paraId="21F517D4" w14:textId="77777777" w:rsidR="00BF042C" w:rsidRPr="00E07364" w:rsidRDefault="00E07364">
      <w:pPr>
        <w:pStyle w:val="P68B1DB1-Normale3"/>
        <w:spacing w:before="240" w:after="120"/>
        <w:jc w:val="both"/>
        <w:rPr>
          <w:lang w:val="en-GB"/>
        </w:rPr>
      </w:pPr>
      <w:r w:rsidRPr="00E07364">
        <w:rPr>
          <w:lang w:val="en-GB"/>
        </w:rPr>
        <w:t>ASSESSMENT METHOD AND CRITERIA</w:t>
      </w:r>
    </w:p>
    <w:p w14:paraId="529FD750" w14:textId="3A01BADB" w:rsidR="00BF042C" w:rsidRPr="00E07364" w:rsidRDefault="00E07364">
      <w:pPr>
        <w:pStyle w:val="P68B1DB1-xmsonormal7"/>
        <w:spacing w:before="0" w:beforeAutospacing="0" w:after="0" w:afterAutospacing="0"/>
        <w:ind w:firstLine="284"/>
        <w:jc w:val="both"/>
        <w:rPr>
          <w:lang w:val="en-GB"/>
        </w:rPr>
      </w:pPr>
      <w:r w:rsidRPr="00E07364">
        <w:rPr>
          <w:lang w:val="en-GB"/>
        </w:rPr>
        <w:t>The final exam will comprise both a written and oral part. The written test, with choice and multiple-choice questions, aims to ascertain the student's acquisition of the concepts taught in class. The duration of the written test is 1 hour. The oral exam will focus on a topic chosen and studied by the student, and on two questions concerning the theoretical concepts covered in the lecture topics.</w:t>
      </w:r>
    </w:p>
    <w:p w14:paraId="5913F3D9" w14:textId="2515AA27" w:rsidR="00BF042C" w:rsidRPr="00E07364" w:rsidRDefault="00E07364">
      <w:pPr>
        <w:pStyle w:val="P68B1DB1-xmsonormal7"/>
        <w:spacing w:before="0" w:beforeAutospacing="0" w:after="0" w:afterAutospacing="0"/>
        <w:ind w:firstLine="284"/>
        <w:jc w:val="both"/>
        <w:rPr>
          <w:lang w:val="en-GB"/>
        </w:rPr>
      </w:pPr>
      <w:r w:rsidRPr="00E07364">
        <w:rPr>
          <w:lang w:val="en-GB"/>
        </w:rPr>
        <w:t>The written test and the oral exam are assessed on a scale from 0</w:t>
      </w:r>
      <w:r w:rsidR="001F1A0D">
        <w:rPr>
          <w:lang w:val="en-GB"/>
        </w:rPr>
        <w:t xml:space="preserve"> to </w:t>
      </w:r>
      <w:r w:rsidRPr="00E07364">
        <w:rPr>
          <w:lang w:val="en-GB"/>
        </w:rPr>
        <w:t>30 and the final mark is the arithmetic mean of the two marks.</w:t>
      </w:r>
    </w:p>
    <w:p w14:paraId="6D7EB93A" w14:textId="77777777" w:rsidR="00BF042C" w:rsidRPr="00E07364" w:rsidRDefault="00E07364">
      <w:pPr>
        <w:pStyle w:val="P68B1DB1-xmsonormal8"/>
        <w:spacing w:before="240" w:beforeAutospacing="0" w:after="120" w:afterAutospacing="0"/>
        <w:jc w:val="both"/>
        <w:rPr>
          <w:lang w:val="en-GB"/>
        </w:rPr>
      </w:pPr>
      <w:r w:rsidRPr="00E07364">
        <w:rPr>
          <w:lang w:val="en-GB"/>
        </w:rPr>
        <w:t>NOTES AND PREREQUISITES</w:t>
      </w:r>
    </w:p>
    <w:p w14:paraId="3194C767" w14:textId="77777777" w:rsidR="00BF042C" w:rsidRPr="00E07364" w:rsidRDefault="00E07364">
      <w:pPr>
        <w:pStyle w:val="P68B1DB1-xmsonormal7"/>
        <w:spacing w:before="0" w:beforeAutospacing="0" w:after="0" w:afterAutospacing="0"/>
        <w:ind w:firstLine="284"/>
        <w:jc w:val="both"/>
        <w:rPr>
          <w:lang w:val="en-GB"/>
        </w:rPr>
      </w:pPr>
      <w:r w:rsidRPr="00E07364">
        <w:rPr>
          <w:lang w:val="en-GB"/>
        </w:rPr>
        <w:t>Students must possess adequate basic knowledge of microbiology and chemistry.</w:t>
      </w:r>
    </w:p>
    <w:p w14:paraId="64A97CC0" w14:textId="77777777" w:rsidR="00BF042C" w:rsidRPr="00E07364" w:rsidRDefault="00BF042C">
      <w:pPr>
        <w:pStyle w:val="xmsonormal"/>
        <w:spacing w:before="0" w:beforeAutospacing="0" w:after="0" w:afterAutospacing="0"/>
        <w:ind w:firstLine="284"/>
        <w:jc w:val="both"/>
        <w:rPr>
          <w:sz w:val="20"/>
          <w:lang w:val="en-GB"/>
        </w:rPr>
      </w:pPr>
      <w:bookmarkStart w:id="0" w:name="_GoBack"/>
      <w:bookmarkEnd w:id="0"/>
    </w:p>
    <w:p w14:paraId="5CF2480A" w14:textId="77777777" w:rsidR="00E07364" w:rsidRPr="00E07364" w:rsidRDefault="00E07364" w:rsidP="00E07364">
      <w:pPr>
        <w:pStyle w:val="P68B1DB1-Testo25"/>
        <w:ind w:firstLine="0"/>
        <w:rPr>
          <w:lang w:val="en-GB"/>
        </w:rPr>
      </w:pPr>
      <w:r w:rsidRPr="00E07364">
        <w:rPr>
          <w:lang w:val="en-GB"/>
        </w:rPr>
        <w:t>Information on office hours available on the teacher's personal page at http://docenti.unicatt.it/.</w:t>
      </w:r>
    </w:p>
    <w:p w14:paraId="68F1B5B9" w14:textId="77777777" w:rsidR="00BF042C" w:rsidRPr="00E07364" w:rsidRDefault="00BF042C">
      <w:pPr>
        <w:jc w:val="both"/>
        <w:rPr>
          <w:sz w:val="24"/>
          <w:lang w:val="en-GB"/>
        </w:rPr>
      </w:pPr>
    </w:p>
    <w:p w14:paraId="1BD5685B" w14:textId="77777777" w:rsidR="00BF042C" w:rsidRPr="001F1A0D" w:rsidRDefault="00BF042C">
      <w:pPr>
        <w:jc w:val="both"/>
        <w:rPr>
          <w:b/>
          <w:i/>
          <w:sz w:val="24"/>
          <w:lang w:val="en-US"/>
        </w:rPr>
      </w:pPr>
    </w:p>
    <w:sectPr w:rsidR="00BF042C" w:rsidRPr="001F1A0D">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7C3" w14:textId="77777777" w:rsidR="00BF042C" w:rsidRDefault="00E07364">
      <w:r>
        <w:separator/>
      </w:r>
    </w:p>
  </w:endnote>
  <w:endnote w:type="continuationSeparator" w:id="0">
    <w:p w14:paraId="5EF7D48D" w14:textId="77777777" w:rsidR="00BF042C" w:rsidRDefault="00E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1EFB" w14:textId="77777777" w:rsidR="00BF042C" w:rsidRDefault="00E07364">
      <w:r>
        <w:separator/>
      </w:r>
    </w:p>
  </w:footnote>
  <w:footnote w:type="continuationSeparator" w:id="0">
    <w:p w14:paraId="5EAE26C8" w14:textId="77777777" w:rsidR="00BF042C" w:rsidRDefault="00E0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1F1A0D"/>
    <w:rsid w:val="002005DD"/>
    <w:rsid w:val="00217BAA"/>
    <w:rsid w:val="0022508F"/>
    <w:rsid w:val="00231655"/>
    <w:rsid w:val="00307E2F"/>
    <w:rsid w:val="00385C08"/>
    <w:rsid w:val="003A05EC"/>
    <w:rsid w:val="003A2BB3"/>
    <w:rsid w:val="0042675F"/>
    <w:rsid w:val="00445E45"/>
    <w:rsid w:val="004738B1"/>
    <w:rsid w:val="00477E1F"/>
    <w:rsid w:val="004C7B03"/>
    <w:rsid w:val="004D473D"/>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BF042C"/>
    <w:rsid w:val="00C0769C"/>
    <w:rsid w:val="00C33C8C"/>
    <w:rsid w:val="00C63D62"/>
    <w:rsid w:val="00CC78B0"/>
    <w:rsid w:val="00D2527C"/>
    <w:rsid w:val="00D74AD5"/>
    <w:rsid w:val="00DE5C9B"/>
    <w:rsid w:val="00E07364"/>
    <w:rsid w:val="00E42557"/>
    <w:rsid w:val="00E47406"/>
    <w:rsid w:val="00E50C9E"/>
    <w:rsid w:val="00E656EC"/>
    <w:rsid w:val="00EA72C9"/>
    <w:rsid w:val="00EB0AC1"/>
    <w:rsid w:val="00EB1524"/>
    <w:rsid w:val="00EB5A3E"/>
    <w:rsid w:val="00EE7137"/>
    <w:rsid w:val="00F049B3"/>
    <w:rsid w:val="00F04A43"/>
    <w:rsid w:val="00F46E7E"/>
    <w:rsid w:val="00F52FFD"/>
    <w:rsid w:val="00F66E9D"/>
    <w:rsid w:val="00F75C88"/>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sz w:val="18"/>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rFonts w:ascii="Times" w:hAnsi="Times"/>
      <w:b/>
      <w:i/>
      <w:sz w:val="18"/>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sz w:val="24"/>
    </w:rPr>
  </w:style>
  <w:style w:type="paragraph" w:customStyle="1" w:styleId="P68B1DB1-Normale6">
    <w:name w:val="P68B1DB1-Normale6"/>
    <w:basedOn w:val="Normale"/>
    <w:rPr>
      <w:rFonts w:ascii="Times" w:hAnsi="Times"/>
      <w:b/>
      <w:i/>
    </w:rPr>
  </w:style>
  <w:style w:type="paragraph" w:customStyle="1" w:styleId="P68B1DB1-xmsonormal7">
    <w:name w:val="P68B1DB1-xmsonormal7"/>
    <w:basedOn w:val="xmsonormal"/>
    <w:rPr>
      <w:color w:val="000000"/>
      <w:sz w:val="20"/>
    </w:rPr>
  </w:style>
  <w:style w:type="paragraph" w:customStyle="1" w:styleId="P68B1DB1-xmsonormal8">
    <w:name w:val="P68B1DB1-xmsonormal8"/>
    <w:basedOn w:val="xmsonormal"/>
    <w:rPr>
      <w:b/>
      <w:i/>
      <w:color w:val="000000"/>
      <w:sz w:val="20"/>
    </w:rPr>
  </w:style>
  <w:style w:type="paragraph" w:customStyle="1" w:styleId="P68B1DB1-Titolo29">
    <w:name w:val="P68B1DB1-Titolo29"/>
    <w:basedOn w:val="Titolo2"/>
    <w:rPr>
      <w:sz w:val="18"/>
      <w:u w:val="none"/>
    </w:rPr>
  </w:style>
  <w:style w:type="paragraph" w:customStyle="1" w:styleId="P68B1DB1-Testo25">
    <w:name w:val="P68B1DB1-Testo25"/>
    <w:basedOn w:val="Normale"/>
    <w:rsid w:val="00E07364"/>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3.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AB6E68E-CD93-4D2A-B81E-203F5ED5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3387</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Barbieri Elisa</cp:lastModifiedBy>
  <cp:revision>7</cp:revision>
  <cp:lastPrinted>2010-04-13T10:33:00Z</cp:lastPrinted>
  <dcterms:created xsi:type="dcterms:W3CDTF">2022-05-04T11:10:00Z</dcterms:created>
  <dcterms:modified xsi:type="dcterms:W3CDTF">2023-06-07T13:57:00Z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