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4E25" w14:textId="77777777" w:rsidR="00BC7D1D" w:rsidRPr="00C54BD4" w:rsidRDefault="00E66361" w:rsidP="00BC7D1D">
      <w:pPr>
        <w:pStyle w:val="Heading1"/>
        <w:rPr>
          <w:b/>
          <w:i w:val="0"/>
          <w:noProof/>
          <w:sz w:val="20"/>
          <w:lang w:val="en-US"/>
        </w:rPr>
      </w:pPr>
      <w:r>
        <w:rPr>
          <w:b/>
          <w:i w:val="0"/>
          <w:noProof/>
          <w:sz w:val="20"/>
          <w:lang w:val="en-US"/>
        </w:rPr>
        <w:t>Applied Agro-Food Microbiology</w:t>
      </w:r>
    </w:p>
    <w:p w14:paraId="4BA38CE6" w14:textId="77777777" w:rsidR="00BC7D1D" w:rsidRPr="00C54BD4" w:rsidRDefault="00BC7D1D" w:rsidP="00BC7D1D">
      <w:pPr>
        <w:pStyle w:val="Heading2"/>
        <w:keepNext w:val="0"/>
        <w:spacing w:line="240" w:lineRule="exact"/>
        <w:jc w:val="left"/>
        <w:rPr>
          <w:smallCaps/>
          <w:noProof/>
          <w:sz w:val="18"/>
          <w:u w:val="none"/>
          <w:lang w:val="en-US"/>
        </w:rPr>
      </w:pPr>
      <w:r w:rsidRPr="00C54BD4">
        <w:rPr>
          <w:smallCaps/>
          <w:noProof/>
          <w:sz w:val="18"/>
          <w:u w:val="none"/>
          <w:lang w:val="en-US"/>
        </w:rPr>
        <w:t xml:space="preserve">Prof. </w:t>
      </w:r>
      <w:r w:rsidR="00E66361">
        <w:rPr>
          <w:smallCaps/>
          <w:noProof/>
          <w:sz w:val="18"/>
          <w:u w:val="none"/>
          <w:lang w:val="en-US"/>
        </w:rPr>
        <w:t>Edoardo Puglisi</w:t>
      </w:r>
    </w:p>
    <w:p w14:paraId="5C613AE1" w14:textId="77777777" w:rsidR="00BC7D1D" w:rsidRPr="00C54BD4" w:rsidRDefault="00BC7D1D" w:rsidP="004E17C4">
      <w:pPr>
        <w:pStyle w:val="Heading3"/>
        <w:ind w:left="0" w:firstLine="0"/>
        <w:rPr>
          <w:rFonts w:ascii="Times New Roman" w:hAnsi="Times New Roman"/>
          <w:sz w:val="24"/>
          <w:szCs w:val="24"/>
          <w:lang w:val="en-US"/>
        </w:rPr>
      </w:pPr>
    </w:p>
    <w:p w14:paraId="191CB616" w14:textId="77777777" w:rsidR="00BC7D1D" w:rsidRPr="00C54BD4" w:rsidRDefault="00BC7D1D" w:rsidP="00BC7D1D">
      <w:pPr>
        <w:spacing w:before="240" w:after="120"/>
        <w:rPr>
          <w:b/>
          <w:sz w:val="18"/>
          <w:lang w:val="en-US"/>
        </w:rPr>
      </w:pPr>
      <w:r w:rsidRPr="00C54BD4">
        <w:rPr>
          <w:b/>
          <w:i/>
          <w:sz w:val="18"/>
          <w:lang w:val="en-US"/>
        </w:rPr>
        <w:t>COURSE AIMS</w:t>
      </w:r>
      <w:r w:rsidR="00E96AF6">
        <w:rPr>
          <w:b/>
          <w:i/>
          <w:sz w:val="18"/>
          <w:lang w:val="en-US"/>
        </w:rPr>
        <w:t xml:space="preserve"> AND EXPECTED LEARNING SKILLS</w:t>
      </w:r>
    </w:p>
    <w:p w14:paraId="7D82367E" w14:textId="77777777" w:rsidR="00BC7D1D" w:rsidRPr="00C54BD4" w:rsidRDefault="00BC7D1D" w:rsidP="00BC7D1D">
      <w:pPr>
        <w:rPr>
          <w:lang w:val="en-US"/>
        </w:rPr>
      </w:pPr>
    </w:p>
    <w:p w14:paraId="07716B13" w14:textId="77777777" w:rsidR="00EE6309" w:rsidRDefault="00EE6309" w:rsidP="00984AE2">
      <w:pPr>
        <w:spacing w:line="276" w:lineRule="auto"/>
        <w:jc w:val="both"/>
        <w:rPr>
          <w:rFonts w:ascii="Times" w:hAnsi="Times"/>
          <w:lang w:val="en-US"/>
        </w:rPr>
      </w:pPr>
      <w:r w:rsidRPr="00EE6309">
        <w:rPr>
          <w:rFonts w:ascii="Times" w:hAnsi="Times"/>
          <w:lang w:val="en-US"/>
        </w:rPr>
        <w:t xml:space="preserve">The course aims at providing students a general understanding of Microbiology base principles, and how these principles have direct practical implications for the </w:t>
      </w:r>
      <w:proofErr w:type="spellStart"/>
      <w:r w:rsidRPr="00EE6309">
        <w:rPr>
          <w:rFonts w:ascii="Times" w:hAnsi="Times"/>
          <w:lang w:val="en-US"/>
        </w:rPr>
        <w:t>agro</w:t>
      </w:r>
      <w:proofErr w:type="spellEnd"/>
      <w:r w:rsidRPr="00EE6309">
        <w:rPr>
          <w:rFonts w:ascii="Times" w:hAnsi="Times"/>
          <w:lang w:val="en-US"/>
        </w:rPr>
        <w:t>-food sector. At the end of the course the students</w:t>
      </w:r>
      <w:r>
        <w:rPr>
          <w:rFonts w:ascii="Times" w:hAnsi="Times"/>
          <w:lang w:val="en-US"/>
        </w:rPr>
        <w:t>:</w:t>
      </w:r>
    </w:p>
    <w:p w14:paraId="25256F93" w14:textId="77777777" w:rsidR="00EE6309" w:rsidRDefault="00EE6309" w:rsidP="00984AE2">
      <w:pPr>
        <w:pStyle w:val="ListParagraph"/>
        <w:numPr>
          <w:ilvl w:val="0"/>
          <w:numId w:val="2"/>
        </w:numPr>
        <w:spacing w:line="276" w:lineRule="auto"/>
        <w:jc w:val="both"/>
        <w:rPr>
          <w:rFonts w:ascii="Times" w:hAnsi="Times"/>
          <w:lang w:val="en-US"/>
        </w:rPr>
      </w:pPr>
      <w:r w:rsidRPr="00EE6309">
        <w:rPr>
          <w:rFonts w:ascii="Times" w:hAnsi="Times"/>
          <w:lang w:val="en-US"/>
        </w:rPr>
        <w:t xml:space="preserve">will know the structure and function of the cell components of bacteria, archaea, fungi and viruses </w:t>
      </w:r>
    </w:p>
    <w:p w14:paraId="283632AB" w14:textId="77777777" w:rsidR="00EE6309" w:rsidRDefault="00EE6309" w:rsidP="00984AE2">
      <w:pPr>
        <w:pStyle w:val="ListParagraph"/>
        <w:numPr>
          <w:ilvl w:val="0"/>
          <w:numId w:val="2"/>
        </w:numPr>
        <w:spacing w:line="276" w:lineRule="auto"/>
        <w:jc w:val="both"/>
        <w:rPr>
          <w:rFonts w:ascii="Times" w:hAnsi="Times"/>
          <w:lang w:val="en-US"/>
        </w:rPr>
      </w:pPr>
      <w:r w:rsidRPr="00EE6309">
        <w:rPr>
          <w:rFonts w:ascii="Times" w:hAnsi="Times"/>
          <w:lang w:val="en-US"/>
        </w:rPr>
        <w:t>will learn and be able to apply ISO methods for cultivating microorganisms and count them with direct and indirect methods</w:t>
      </w:r>
    </w:p>
    <w:p w14:paraId="4242A2E9" w14:textId="77777777" w:rsidR="00EE6309" w:rsidRDefault="00EE6309" w:rsidP="00984AE2">
      <w:pPr>
        <w:pStyle w:val="ListParagraph"/>
        <w:numPr>
          <w:ilvl w:val="0"/>
          <w:numId w:val="2"/>
        </w:numPr>
        <w:spacing w:line="276" w:lineRule="auto"/>
        <w:jc w:val="both"/>
        <w:rPr>
          <w:rFonts w:ascii="Times" w:hAnsi="Times"/>
          <w:lang w:val="en-US"/>
        </w:rPr>
      </w:pPr>
      <w:r w:rsidRPr="00EE6309">
        <w:rPr>
          <w:rFonts w:ascii="Times" w:hAnsi="Times"/>
          <w:lang w:val="en-US"/>
        </w:rPr>
        <w:t>will learn the basic principles of microbial metabolism that are necessary to understand the roles played by microorganisms in ensuring soil fertility and in the production of fermented foods and beverages</w:t>
      </w:r>
    </w:p>
    <w:p w14:paraId="1170A7DA" w14:textId="77777777" w:rsidR="00EE6309" w:rsidRDefault="00EE6309" w:rsidP="00984AE2">
      <w:pPr>
        <w:pStyle w:val="ListParagraph"/>
        <w:numPr>
          <w:ilvl w:val="0"/>
          <w:numId w:val="2"/>
        </w:numPr>
        <w:spacing w:line="276" w:lineRule="auto"/>
        <w:jc w:val="both"/>
        <w:rPr>
          <w:rFonts w:ascii="Times" w:hAnsi="Times"/>
          <w:lang w:val="en-US"/>
        </w:rPr>
      </w:pPr>
      <w:r w:rsidRPr="00EE6309">
        <w:rPr>
          <w:rFonts w:ascii="Times" w:hAnsi="Times"/>
          <w:lang w:val="en-US"/>
        </w:rPr>
        <w:t>will acquire practical competences for identifying microorganisms with phenotypic and genotypic methods</w:t>
      </w:r>
    </w:p>
    <w:p w14:paraId="29E41C8E" w14:textId="77777777" w:rsidR="00EE6309" w:rsidRDefault="00EE6309" w:rsidP="00984AE2">
      <w:pPr>
        <w:pStyle w:val="ListParagraph"/>
        <w:numPr>
          <w:ilvl w:val="0"/>
          <w:numId w:val="2"/>
        </w:numPr>
        <w:spacing w:line="276" w:lineRule="auto"/>
        <w:jc w:val="both"/>
        <w:rPr>
          <w:rFonts w:ascii="Times" w:hAnsi="Times"/>
          <w:lang w:val="en-US"/>
        </w:rPr>
      </w:pPr>
      <w:r w:rsidRPr="00EE6309">
        <w:rPr>
          <w:rFonts w:ascii="Times" w:hAnsi="Times"/>
          <w:lang w:val="en-US"/>
        </w:rPr>
        <w:t xml:space="preserve">will be able to describe microorganisms that are involved in food production, soil fertility and in the promotion of the health of humans, animals and plants. </w:t>
      </w:r>
    </w:p>
    <w:p w14:paraId="2F283C91" w14:textId="77777777" w:rsidR="00EE6309" w:rsidRDefault="00EE6309" w:rsidP="00984AE2">
      <w:pPr>
        <w:pStyle w:val="ListParagraph"/>
        <w:numPr>
          <w:ilvl w:val="0"/>
          <w:numId w:val="2"/>
        </w:numPr>
        <w:spacing w:line="276" w:lineRule="auto"/>
        <w:jc w:val="both"/>
        <w:rPr>
          <w:rFonts w:ascii="Times" w:hAnsi="Times"/>
          <w:lang w:val="en-US"/>
        </w:rPr>
      </w:pPr>
      <w:r w:rsidRPr="00EE6309">
        <w:rPr>
          <w:rFonts w:ascii="Times" w:hAnsi="Times"/>
          <w:lang w:val="en-US"/>
        </w:rPr>
        <w:t xml:space="preserve">will learn the methods for microbial growth control, they will know the main classes of antibiotics and the risks related to antibiotic-resistances, with a focus on the </w:t>
      </w:r>
      <w:proofErr w:type="spellStart"/>
      <w:r w:rsidRPr="00EE6309">
        <w:rPr>
          <w:rFonts w:ascii="Times" w:hAnsi="Times"/>
          <w:lang w:val="en-US"/>
        </w:rPr>
        <w:t>agro</w:t>
      </w:r>
      <w:proofErr w:type="spellEnd"/>
      <w:r w:rsidRPr="00EE6309">
        <w:rPr>
          <w:rFonts w:ascii="Times" w:hAnsi="Times"/>
          <w:lang w:val="en-US"/>
        </w:rPr>
        <w:t xml:space="preserve">-food </w:t>
      </w:r>
    </w:p>
    <w:p w14:paraId="35A85D5E" w14:textId="77777777" w:rsidR="00EE6309" w:rsidRPr="00EE6309" w:rsidRDefault="00EE6309" w:rsidP="00984AE2">
      <w:pPr>
        <w:pStyle w:val="ListParagraph"/>
        <w:numPr>
          <w:ilvl w:val="0"/>
          <w:numId w:val="2"/>
        </w:numPr>
        <w:spacing w:line="276" w:lineRule="auto"/>
        <w:jc w:val="both"/>
        <w:rPr>
          <w:rFonts w:ascii="Times" w:hAnsi="Times"/>
          <w:lang w:val="en-US"/>
        </w:rPr>
      </w:pPr>
      <w:r w:rsidRPr="00EE6309">
        <w:rPr>
          <w:rFonts w:ascii="Times" w:hAnsi="Times"/>
          <w:lang w:val="en-US"/>
        </w:rPr>
        <w:t xml:space="preserve">will be able to apply laboratory techniques for the isolation, counting and microscope observation of bacteria, and they will also learn to work under sterile conditions. </w:t>
      </w:r>
    </w:p>
    <w:p w14:paraId="1712BF0F" w14:textId="77777777" w:rsidR="00BC7D1D" w:rsidRPr="00F6284C" w:rsidRDefault="00BC7D1D" w:rsidP="00BC7D1D">
      <w:pPr>
        <w:spacing w:before="240" w:after="120"/>
        <w:rPr>
          <w:b/>
          <w:i/>
          <w:sz w:val="18"/>
          <w:lang w:val="en-US"/>
        </w:rPr>
      </w:pPr>
      <w:r w:rsidRPr="00F6284C">
        <w:rPr>
          <w:b/>
          <w:i/>
          <w:sz w:val="18"/>
          <w:lang w:val="en-US"/>
        </w:rPr>
        <w:t>COURSE CONTENT</w:t>
      </w:r>
    </w:p>
    <w:p w14:paraId="4538691B" w14:textId="77777777" w:rsidR="003A05EC" w:rsidRDefault="003A05EC" w:rsidP="003A05EC"/>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789"/>
        <w:gridCol w:w="1290"/>
      </w:tblGrid>
      <w:tr w:rsidR="006C0B0E" w:rsidRPr="00EE6309" w14:paraId="6E0F4522" w14:textId="77777777" w:rsidTr="00EE6309">
        <w:tc>
          <w:tcPr>
            <w:tcW w:w="6789" w:type="dxa"/>
            <w:shd w:val="clear" w:color="auto" w:fill="auto"/>
          </w:tcPr>
          <w:p w14:paraId="202515AA" w14:textId="77777777" w:rsidR="006C0B0E" w:rsidRPr="00EE6309" w:rsidRDefault="006C0B0E" w:rsidP="00BC7D1D">
            <w:pPr>
              <w:rPr>
                <w:rFonts w:ascii="Times" w:hAnsi="Times"/>
                <w:szCs w:val="18"/>
                <w:lang w:val="en-US"/>
              </w:rPr>
            </w:pPr>
          </w:p>
        </w:tc>
        <w:tc>
          <w:tcPr>
            <w:tcW w:w="1290" w:type="dxa"/>
            <w:shd w:val="clear" w:color="auto" w:fill="auto"/>
          </w:tcPr>
          <w:p w14:paraId="49BCE0F7" w14:textId="77777777" w:rsidR="006C0B0E" w:rsidRPr="00EE6309" w:rsidRDefault="001F298E" w:rsidP="00BC7D1D">
            <w:pPr>
              <w:rPr>
                <w:rFonts w:ascii="Times" w:hAnsi="Times"/>
                <w:szCs w:val="18"/>
                <w:lang w:val="en-US"/>
              </w:rPr>
            </w:pPr>
            <w:r w:rsidRPr="00EE6309">
              <w:rPr>
                <w:rFonts w:ascii="Times" w:hAnsi="Times"/>
                <w:szCs w:val="18"/>
                <w:lang w:val="en-US"/>
              </w:rPr>
              <w:t>ECTS CREDITS</w:t>
            </w:r>
          </w:p>
        </w:tc>
      </w:tr>
      <w:tr w:rsidR="006C0B0E" w:rsidRPr="00EE6309" w14:paraId="490803CD" w14:textId="77777777" w:rsidTr="00EE6309">
        <w:tc>
          <w:tcPr>
            <w:tcW w:w="6789" w:type="dxa"/>
            <w:shd w:val="clear" w:color="auto" w:fill="auto"/>
          </w:tcPr>
          <w:p w14:paraId="5ADC2EA6" w14:textId="77777777" w:rsidR="006C0B0E" w:rsidRPr="00EE6309" w:rsidRDefault="00EE6309" w:rsidP="00C54BD4">
            <w:pPr>
              <w:rPr>
                <w:rFonts w:ascii="Times" w:hAnsi="Times"/>
                <w:lang w:val="en-US"/>
              </w:rPr>
            </w:pPr>
            <w:r w:rsidRPr="00EE6309">
              <w:rPr>
                <w:rFonts w:ascii="Times" w:hAnsi="Times"/>
                <w:lang w:val="en-US"/>
              </w:rPr>
              <w:t>The prokaryotic cell: morphology, size, chemical composition and structure. Bacterial cell movement. Bacterial endospores and their relevance for food safety. Pure culture, type strain and preservation of bacterial cells. International collections: practical examples.</w:t>
            </w:r>
          </w:p>
        </w:tc>
        <w:tc>
          <w:tcPr>
            <w:tcW w:w="1290" w:type="dxa"/>
            <w:shd w:val="clear" w:color="auto" w:fill="auto"/>
          </w:tcPr>
          <w:p w14:paraId="4BF6758A" w14:textId="77777777" w:rsidR="006C0B0E" w:rsidRPr="00EE6309" w:rsidRDefault="00C54BD4" w:rsidP="00C54BD4">
            <w:pPr>
              <w:rPr>
                <w:rFonts w:ascii="Times" w:hAnsi="Times"/>
                <w:szCs w:val="18"/>
                <w:lang w:val="en-US"/>
              </w:rPr>
            </w:pPr>
            <w:r w:rsidRPr="00EE6309">
              <w:rPr>
                <w:rFonts w:ascii="Times" w:hAnsi="Times"/>
                <w:szCs w:val="18"/>
                <w:lang w:val="en-US"/>
              </w:rPr>
              <w:t>1</w:t>
            </w:r>
            <w:r w:rsidR="000352AD" w:rsidRPr="00EE6309">
              <w:rPr>
                <w:rFonts w:ascii="Times" w:hAnsi="Times"/>
                <w:szCs w:val="18"/>
                <w:lang w:val="en-US"/>
              </w:rPr>
              <w:t>.0</w:t>
            </w:r>
          </w:p>
        </w:tc>
      </w:tr>
      <w:tr w:rsidR="00D2527C" w:rsidRPr="00EE6309" w14:paraId="38015279" w14:textId="77777777" w:rsidTr="00EE6309">
        <w:tc>
          <w:tcPr>
            <w:tcW w:w="6789" w:type="dxa"/>
            <w:shd w:val="clear" w:color="auto" w:fill="auto"/>
          </w:tcPr>
          <w:p w14:paraId="5386B30D" w14:textId="77777777" w:rsidR="00D2527C" w:rsidRPr="00EE6309" w:rsidRDefault="00EE6309" w:rsidP="000352AD">
            <w:pPr>
              <w:rPr>
                <w:rFonts w:ascii="Times" w:hAnsi="Times"/>
              </w:rPr>
            </w:pPr>
            <w:r w:rsidRPr="00EE6309">
              <w:rPr>
                <w:rFonts w:ascii="Times" w:hAnsi="Times"/>
                <w:lang w:val="en-US"/>
              </w:rPr>
              <w:t xml:space="preserve">Bacterial nutrition: nutritional groups. Methods for cultivation and counting of microorganisms of </w:t>
            </w:r>
            <w:proofErr w:type="spellStart"/>
            <w:r w:rsidRPr="00EE6309">
              <w:rPr>
                <w:rFonts w:ascii="Times" w:hAnsi="Times"/>
                <w:lang w:val="en-US"/>
              </w:rPr>
              <w:t>agro</w:t>
            </w:r>
            <w:proofErr w:type="spellEnd"/>
            <w:r w:rsidRPr="00EE6309">
              <w:rPr>
                <w:rFonts w:ascii="Times" w:hAnsi="Times"/>
                <w:lang w:val="en-US"/>
              </w:rPr>
              <w:t xml:space="preserve">-food interest, with practical examples. Microbial metabolism, with a focus on fermentations and their roles in the food industries: wine, fermented meats, cheese, yogurt, cocoa. </w:t>
            </w:r>
            <w:proofErr w:type="spellStart"/>
            <w:r w:rsidRPr="00EE6309">
              <w:rPr>
                <w:rFonts w:ascii="Times" w:hAnsi="Times"/>
              </w:rPr>
              <w:t>Hints</w:t>
            </w:r>
            <w:proofErr w:type="spellEnd"/>
            <w:r w:rsidRPr="00EE6309">
              <w:rPr>
                <w:rFonts w:ascii="Times" w:hAnsi="Times"/>
              </w:rPr>
              <w:t xml:space="preserve"> on the starter </w:t>
            </w:r>
            <w:proofErr w:type="spellStart"/>
            <w:r w:rsidRPr="00EE6309">
              <w:rPr>
                <w:rFonts w:ascii="Times" w:hAnsi="Times"/>
              </w:rPr>
              <w:t>cultures</w:t>
            </w:r>
            <w:proofErr w:type="spellEnd"/>
            <w:r w:rsidRPr="00EE6309">
              <w:rPr>
                <w:rFonts w:ascii="Times" w:hAnsi="Times"/>
              </w:rPr>
              <w:t xml:space="preserve">. </w:t>
            </w:r>
          </w:p>
        </w:tc>
        <w:tc>
          <w:tcPr>
            <w:tcW w:w="1290" w:type="dxa"/>
            <w:shd w:val="clear" w:color="auto" w:fill="auto"/>
          </w:tcPr>
          <w:p w14:paraId="718FE2EB" w14:textId="77777777" w:rsidR="00D2527C" w:rsidRPr="00EE6309" w:rsidRDefault="001056DC" w:rsidP="00BC7D1D">
            <w:pPr>
              <w:rPr>
                <w:rFonts w:ascii="Times" w:hAnsi="Times"/>
                <w:szCs w:val="18"/>
                <w:lang w:val="en-US"/>
              </w:rPr>
            </w:pPr>
            <w:r w:rsidRPr="00EE6309">
              <w:rPr>
                <w:rFonts w:ascii="Times" w:hAnsi="Times"/>
                <w:szCs w:val="18"/>
                <w:lang w:val="en-US"/>
              </w:rPr>
              <w:t>1</w:t>
            </w:r>
            <w:r w:rsidR="00D2527C" w:rsidRPr="00EE6309">
              <w:rPr>
                <w:rFonts w:ascii="Times" w:hAnsi="Times"/>
                <w:szCs w:val="18"/>
                <w:lang w:val="en-US"/>
              </w:rPr>
              <w:t>.</w:t>
            </w:r>
            <w:r w:rsidRPr="00EE6309">
              <w:rPr>
                <w:rFonts w:ascii="Times" w:hAnsi="Times"/>
                <w:szCs w:val="18"/>
                <w:lang w:val="en-US"/>
              </w:rPr>
              <w:t>0</w:t>
            </w:r>
          </w:p>
        </w:tc>
      </w:tr>
      <w:tr w:rsidR="00D2527C" w:rsidRPr="00EE6309" w14:paraId="2BF1D7CC" w14:textId="77777777" w:rsidTr="00EE6309">
        <w:tc>
          <w:tcPr>
            <w:tcW w:w="6789" w:type="dxa"/>
            <w:shd w:val="clear" w:color="auto" w:fill="auto"/>
          </w:tcPr>
          <w:p w14:paraId="25C5C499" w14:textId="77777777" w:rsidR="00D2527C" w:rsidRPr="00EE6309" w:rsidRDefault="00EE6309" w:rsidP="000352AD">
            <w:pPr>
              <w:rPr>
                <w:rFonts w:ascii="Times" w:hAnsi="Times"/>
                <w:lang w:val="en-US"/>
              </w:rPr>
            </w:pPr>
            <w:r w:rsidRPr="00EE6309">
              <w:rPr>
                <w:rFonts w:ascii="Times" w:hAnsi="Times"/>
                <w:lang w:val="en-US"/>
              </w:rPr>
              <w:t xml:space="preserve">Genotypic and phenotypic methods for microorganisms’ classification. 16S gene and its implications for the identification of bacteria. </w:t>
            </w:r>
            <w:proofErr w:type="spellStart"/>
            <w:r w:rsidRPr="00EE6309">
              <w:rPr>
                <w:rFonts w:ascii="Times" w:hAnsi="Times"/>
                <w:lang w:val="en-US"/>
              </w:rPr>
              <w:t>Bergey’s</w:t>
            </w:r>
            <w:proofErr w:type="spellEnd"/>
            <w:r w:rsidRPr="00EE6309">
              <w:rPr>
                <w:rFonts w:ascii="Times" w:hAnsi="Times"/>
                <w:lang w:val="en-US"/>
              </w:rPr>
              <w:t xml:space="preserve"> manual and bacterial systematics. Phylogenetic classifications. Some microbial groups of </w:t>
            </w:r>
            <w:proofErr w:type="spellStart"/>
            <w:r w:rsidRPr="00EE6309">
              <w:rPr>
                <w:rFonts w:ascii="Times" w:hAnsi="Times"/>
                <w:lang w:val="en-US"/>
              </w:rPr>
              <w:t>agro</w:t>
            </w:r>
            <w:proofErr w:type="spellEnd"/>
            <w:r w:rsidRPr="00EE6309">
              <w:rPr>
                <w:rFonts w:ascii="Times" w:hAnsi="Times"/>
                <w:lang w:val="en-US"/>
              </w:rPr>
              <w:t xml:space="preserve">-food interest: fermenting microorganisms, starters, spoilage agents, probiotics, human, animal and plant pathogens, plant </w:t>
            </w:r>
            <w:proofErr w:type="spellStart"/>
            <w:r w:rsidRPr="00EE6309">
              <w:rPr>
                <w:rFonts w:ascii="Times" w:hAnsi="Times"/>
                <w:lang w:val="en-US"/>
              </w:rPr>
              <w:t>biostimulants</w:t>
            </w:r>
            <w:proofErr w:type="spellEnd"/>
            <w:r w:rsidRPr="00EE6309">
              <w:rPr>
                <w:rFonts w:ascii="Times" w:hAnsi="Times"/>
                <w:lang w:val="en-US"/>
              </w:rPr>
              <w:t>.</w:t>
            </w:r>
          </w:p>
        </w:tc>
        <w:tc>
          <w:tcPr>
            <w:tcW w:w="1290" w:type="dxa"/>
            <w:shd w:val="clear" w:color="auto" w:fill="auto"/>
          </w:tcPr>
          <w:p w14:paraId="2F13F6DA" w14:textId="77777777" w:rsidR="00D2527C" w:rsidRPr="00EE6309" w:rsidRDefault="001056DC" w:rsidP="00E96AF6">
            <w:pPr>
              <w:rPr>
                <w:rFonts w:ascii="Times" w:hAnsi="Times"/>
                <w:szCs w:val="18"/>
                <w:lang w:val="en-US"/>
              </w:rPr>
            </w:pPr>
            <w:r w:rsidRPr="00EE6309">
              <w:rPr>
                <w:rFonts w:ascii="Times" w:hAnsi="Times"/>
                <w:szCs w:val="18"/>
                <w:lang w:val="en-US"/>
              </w:rPr>
              <w:t>1.</w:t>
            </w:r>
            <w:r w:rsidR="00EE6309">
              <w:rPr>
                <w:rFonts w:ascii="Times" w:hAnsi="Times"/>
                <w:szCs w:val="18"/>
                <w:lang w:val="en-US"/>
              </w:rPr>
              <w:t>0</w:t>
            </w:r>
          </w:p>
        </w:tc>
      </w:tr>
      <w:tr w:rsidR="00D2527C" w:rsidRPr="00EE6309" w14:paraId="48F9B470" w14:textId="77777777" w:rsidTr="00EE6309">
        <w:tc>
          <w:tcPr>
            <w:tcW w:w="6789" w:type="dxa"/>
            <w:shd w:val="clear" w:color="auto" w:fill="auto"/>
          </w:tcPr>
          <w:p w14:paraId="77F07556" w14:textId="77777777" w:rsidR="00EE6309" w:rsidRPr="00EE6309" w:rsidRDefault="00EE6309" w:rsidP="000352AD">
            <w:pPr>
              <w:rPr>
                <w:rFonts w:ascii="Times" w:hAnsi="Times"/>
                <w:lang w:val="en-US"/>
              </w:rPr>
            </w:pPr>
            <w:r w:rsidRPr="00EE6309">
              <w:rPr>
                <w:rFonts w:ascii="Times" w:hAnsi="Times"/>
                <w:lang w:val="en-US"/>
              </w:rPr>
              <w:t xml:space="preserve">Antimicrobial defense: principles and mechanisms of cell inactivation, with practical examples. Physical, chemical and pharmacological agents. The antibiotics and the issue of antibiotic resistance diffusion, with a focus on agriculture and food systems. </w:t>
            </w:r>
          </w:p>
        </w:tc>
        <w:tc>
          <w:tcPr>
            <w:tcW w:w="1290" w:type="dxa"/>
            <w:shd w:val="clear" w:color="auto" w:fill="auto"/>
          </w:tcPr>
          <w:p w14:paraId="5ED26857" w14:textId="77777777" w:rsidR="00D2527C" w:rsidRPr="00EE6309" w:rsidRDefault="00007343" w:rsidP="00E96AF6">
            <w:pPr>
              <w:rPr>
                <w:rFonts w:ascii="Times" w:hAnsi="Times"/>
                <w:szCs w:val="18"/>
                <w:lang w:val="en-US"/>
              </w:rPr>
            </w:pPr>
            <w:r w:rsidRPr="00EE6309">
              <w:rPr>
                <w:rFonts w:ascii="Times" w:hAnsi="Times"/>
                <w:szCs w:val="18"/>
                <w:lang w:val="en-US"/>
              </w:rPr>
              <w:t>1.</w:t>
            </w:r>
            <w:r w:rsidR="00EE6309">
              <w:rPr>
                <w:rFonts w:ascii="Times" w:hAnsi="Times"/>
                <w:szCs w:val="18"/>
                <w:lang w:val="en-US"/>
              </w:rPr>
              <w:t>0</w:t>
            </w:r>
          </w:p>
        </w:tc>
      </w:tr>
      <w:tr w:rsidR="002D1E5D" w:rsidRPr="00EE6309" w14:paraId="03BA3D2A" w14:textId="77777777" w:rsidTr="00EE6309">
        <w:tc>
          <w:tcPr>
            <w:tcW w:w="6789" w:type="dxa"/>
            <w:shd w:val="clear" w:color="auto" w:fill="auto"/>
          </w:tcPr>
          <w:p w14:paraId="2E8BF691" w14:textId="77777777" w:rsidR="00EE6309" w:rsidRPr="00EE6309" w:rsidRDefault="00EE6309" w:rsidP="001631A7">
            <w:pPr>
              <w:rPr>
                <w:rFonts w:ascii="Times" w:hAnsi="Times"/>
              </w:rPr>
            </w:pPr>
            <w:r w:rsidRPr="00EE6309">
              <w:rPr>
                <w:rFonts w:ascii="Times" w:hAnsi="Times"/>
                <w:lang w:val="en-US"/>
              </w:rPr>
              <w:t xml:space="preserve">Taxonomy of fungi with particular emphasis on yeasts. Yeasts genetics. Sexual reproduction and ecology of fungi. Some fungal groups of </w:t>
            </w:r>
            <w:proofErr w:type="spellStart"/>
            <w:r w:rsidRPr="00EE6309">
              <w:rPr>
                <w:rFonts w:ascii="Times" w:hAnsi="Times"/>
                <w:lang w:val="en-US"/>
              </w:rPr>
              <w:t>agro</w:t>
            </w:r>
            <w:proofErr w:type="spellEnd"/>
            <w:r w:rsidRPr="00EE6309">
              <w:rPr>
                <w:rFonts w:ascii="Times" w:hAnsi="Times"/>
                <w:lang w:val="en-US"/>
              </w:rPr>
              <w:t xml:space="preserve">-food interests. Antimycotics. </w:t>
            </w:r>
          </w:p>
        </w:tc>
        <w:tc>
          <w:tcPr>
            <w:tcW w:w="1290" w:type="dxa"/>
            <w:shd w:val="clear" w:color="auto" w:fill="auto"/>
          </w:tcPr>
          <w:p w14:paraId="4A7EF643" w14:textId="77777777" w:rsidR="002D1E5D" w:rsidRPr="00EE6309" w:rsidRDefault="002D1E5D" w:rsidP="00BC7D1D">
            <w:pPr>
              <w:rPr>
                <w:rFonts w:ascii="Times" w:hAnsi="Times"/>
                <w:szCs w:val="18"/>
                <w:lang w:val="en-US"/>
              </w:rPr>
            </w:pPr>
            <w:r w:rsidRPr="00EE6309">
              <w:rPr>
                <w:rFonts w:ascii="Times" w:hAnsi="Times"/>
                <w:szCs w:val="18"/>
                <w:lang w:val="en-US"/>
              </w:rPr>
              <w:t>1.0</w:t>
            </w:r>
          </w:p>
        </w:tc>
      </w:tr>
      <w:tr w:rsidR="00EE6309" w:rsidRPr="00EE6309" w14:paraId="437578EA" w14:textId="77777777" w:rsidTr="00EE6309">
        <w:tc>
          <w:tcPr>
            <w:tcW w:w="6789" w:type="dxa"/>
            <w:shd w:val="clear" w:color="auto" w:fill="auto"/>
          </w:tcPr>
          <w:p w14:paraId="1AC9190D" w14:textId="77777777" w:rsidR="00EE6309" w:rsidRPr="00EE6309" w:rsidRDefault="00EE6309" w:rsidP="001631A7">
            <w:pPr>
              <w:rPr>
                <w:rFonts w:ascii="Times" w:hAnsi="Times"/>
                <w:u w:val="single"/>
                <w:lang w:val="en-US"/>
              </w:rPr>
            </w:pPr>
            <w:r w:rsidRPr="00EE6309">
              <w:rPr>
                <w:rFonts w:ascii="Times" w:hAnsi="Times"/>
                <w:smallCaps/>
                <w:lang w:val="en-US"/>
              </w:rPr>
              <w:t>Tutorial:</w:t>
            </w:r>
            <w:r w:rsidRPr="00EE6309">
              <w:rPr>
                <w:rFonts w:ascii="Times" w:hAnsi="Times"/>
                <w:smallCaps/>
                <w:sz w:val="18"/>
                <w:lang w:val="en-US"/>
              </w:rPr>
              <w:t xml:space="preserve"> </w:t>
            </w:r>
            <w:r w:rsidRPr="00EE6309">
              <w:rPr>
                <w:rFonts w:ascii="Times" w:hAnsi="Times"/>
                <w:lang w:val="en-US"/>
              </w:rPr>
              <w:t>Microbiological techniques with practical examples from food microbiology: sterility, isolation, counts, microscopy, most probable number assessment, indole test, Gram staining</w:t>
            </w:r>
          </w:p>
        </w:tc>
        <w:tc>
          <w:tcPr>
            <w:tcW w:w="1290" w:type="dxa"/>
            <w:shd w:val="clear" w:color="auto" w:fill="auto"/>
          </w:tcPr>
          <w:p w14:paraId="2FD2C251" w14:textId="77777777" w:rsidR="00EE6309" w:rsidRPr="00EE6309" w:rsidRDefault="00EE6309" w:rsidP="00BC7D1D">
            <w:pPr>
              <w:rPr>
                <w:rFonts w:ascii="Times" w:hAnsi="Times"/>
                <w:szCs w:val="18"/>
                <w:lang w:val="en-US"/>
              </w:rPr>
            </w:pPr>
            <w:r>
              <w:rPr>
                <w:rFonts w:ascii="Times" w:hAnsi="Times"/>
                <w:szCs w:val="18"/>
                <w:lang w:val="en-US"/>
              </w:rPr>
              <w:t>1.0</w:t>
            </w:r>
          </w:p>
        </w:tc>
      </w:tr>
      <w:tr w:rsidR="002D1E5D" w:rsidRPr="00EE6309" w14:paraId="32409464" w14:textId="77777777" w:rsidTr="00EE6309">
        <w:tc>
          <w:tcPr>
            <w:tcW w:w="6789" w:type="dxa"/>
            <w:shd w:val="clear" w:color="auto" w:fill="auto"/>
          </w:tcPr>
          <w:p w14:paraId="0CAC7A89" w14:textId="77777777" w:rsidR="002D1E5D" w:rsidRPr="00EE6309" w:rsidRDefault="002D1E5D" w:rsidP="008763A0">
            <w:pPr>
              <w:rPr>
                <w:rFonts w:ascii="Times" w:hAnsi="Times"/>
                <w:szCs w:val="18"/>
                <w:lang w:val="en-US"/>
              </w:rPr>
            </w:pPr>
          </w:p>
        </w:tc>
        <w:tc>
          <w:tcPr>
            <w:tcW w:w="1290" w:type="dxa"/>
            <w:shd w:val="clear" w:color="auto" w:fill="auto"/>
          </w:tcPr>
          <w:p w14:paraId="4FE57EDC" w14:textId="77777777" w:rsidR="002D1E5D" w:rsidRPr="00EE6309" w:rsidRDefault="002D1E5D" w:rsidP="00BC7D1D">
            <w:pPr>
              <w:rPr>
                <w:rFonts w:ascii="Times" w:hAnsi="Times"/>
                <w:szCs w:val="18"/>
                <w:lang w:val="en-US"/>
              </w:rPr>
            </w:pPr>
          </w:p>
        </w:tc>
      </w:tr>
    </w:tbl>
    <w:p w14:paraId="72898B54" w14:textId="77777777" w:rsidR="006C0B0E" w:rsidRPr="00EE6309" w:rsidRDefault="006C0B0E" w:rsidP="003A05EC">
      <w:pPr>
        <w:rPr>
          <w:lang w:val="en-US"/>
        </w:rPr>
      </w:pPr>
    </w:p>
    <w:p w14:paraId="21B30EE7" w14:textId="77777777" w:rsidR="00BC7D1D" w:rsidRDefault="00BC7D1D" w:rsidP="00BC7D1D">
      <w:pPr>
        <w:pStyle w:val="Heading4"/>
        <w:rPr>
          <w:rFonts w:ascii="Times New Roman" w:hAnsi="Times New Roman"/>
          <w:bCs w:val="0"/>
          <w:i/>
          <w:sz w:val="18"/>
          <w:lang w:val="en-US"/>
        </w:rPr>
      </w:pPr>
    </w:p>
    <w:p w14:paraId="6D4F7148" w14:textId="77777777" w:rsidR="00BC7D1D" w:rsidRPr="00EE5947" w:rsidRDefault="00BC7D1D" w:rsidP="004E17C4">
      <w:pPr>
        <w:pStyle w:val="Heading4"/>
        <w:rPr>
          <w:rFonts w:ascii="Times New Roman" w:hAnsi="Times New Roman"/>
          <w:bCs w:val="0"/>
          <w:i/>
          <w:sz w:val="20"/>
          <w:lang w:val="en-US"/>
        </w:rPr>
      </w:pPr>
      <w:r w:rsidRPr="00EE5947">
        <w:rPr>
          <w:rFonts w:ascii="Times New Roman" w:hAnsi="Times New Roman"/>
          <w:bCs w:val="0"/>
          <w:i/>
          <w:sz w:val="20"/>
          <w:lang w:val="en-US"/>
        </w:rPr>
        <w:t>READING LIST</w:t>
      </w:r>
    </w:p>
    <w:p w14:paraId="1BB9CE4B" w14:textId="2FB5BEE5" w:rsidR="00EE6309" w:rsidRPr="002B68CB" w:rsidRDefault="00EE6309" w:rsidP="00EE6309">
      <w:pPr>
        <w:pStyle w:val="Testo1"/>
        <w:spacing w:line="240" w:lineRule="atLeast"/>
        <w:ind w:left="0" w:firstLine="0"/>
        <w:rPr>
          <w:rFonts w:cstheme="minorHAnsi"/>
          <w:spacing w:val="-5"/>
          <w:sz w:val="20"/>
          <w:lang w:val="en-US"/>
        </w:rPr>
      </w:pPr>
      <w:r w:rsidRPr="002B68CB">
        <w:rPr>
          <w:rFonts w:cstheme="minorHAnsi"/>
          <w:smallCaps/>
          <w:spacing w:val="-5"/>
          <w:sz w:val="20"/>
          <w:lang w:val="en-US"/>
        </w:rPr>
        <w:t xml:space="preserve">M. Madigan-J.S Martinko, K.S. Bender, D.H. Buckley, D.A. Stahl, </w:t>
      </w:r>
      <w:r w:rsidRPr="002B68CB">
        <w:rPr>
          <w:rFonts w:cstheme="minorHAnsi"/>
          <w:i/>
          <w:spacing w:val="-5"/>
          <w:sz w:val="20"/>
          <w:lang w:val="en-US"/>
        </w:rPr>
        <w:t>Brock Biolog</w:t>
      </w:r>
      <w:r w:rsidR="002B68CB" w:rsidRPr="002B68CB">
        <w:rPr>
          <w:rFonts w:cstheme="minorHAnsi"/>
          <w:i/>
          <w:spacing w:val="-5"/>
          <w:sz w:val="20"/>
          <w:lang w:val="en-US"/>
        </w:rPr>
        <w:t>y of</w:t>
      </w:r>
      <w:r w:rsidRPr="002B68CB">
        <w:rPr>
          <w:rFonts w:cstheme="minorHAnsi"/>
          <w:i/>
          <w:spacing w:val="-5"/>
          <w:sz w:val="20"/>
          <w:lang w:val="en-US"/>
        </w:rPr>
        <w:t xml:space="preserve"> Microrganism</w:t>
      </w:r>
      <w:r w:rsidR="002B68CB">
        <w:rPr>
          <w:rFonts w:cstheme="minorHAnsi"/>
          <w:i/>
          <w:spacing w:val="-5"/>
          <w:sz w:val="20"/>
          <w:lang w:val="en-US"/>
        </w:rPr>
        <w:t>s</w:t>
      </w:r>
      <w:r w:rsidRPr="002B68CB">
        <w:rPr>
          <w:rFonts w:cstheme="minorHAnsi"/>
          <w:i/>
          <w:spacing w:val="-5"/>
          <w:sz w:val="20"/>
          <w:lang w:val="en-US"/>
        </w:rPr>
        <w:t>,</w:t>
      </w:r>
      <w:r w:rsidRPr="002B68CB">
        <w:rPr>
          <w:rFonts w:cstheme="minorHAnsi"/>
          <w:spacing w:val="-5"/>
          <w:sz w:val="20"/>
          <w:lang w:val="en-US"/>
        </w:rPr>
        <w:t xml:space="preserve"> 1</w:t>
      </w:r>
      <w:r w:rsidR="002B68CB">
        <w:rPr>
          <w:rFonts w:cstheme="minorHAnsi"/>
          <w:spacing w:val="-5"/>
          <w:sz w:val="20"/>
          <w:lang w:val="en-US"/>
        </w:rPr>
        <w:t>6</w:t>
      </w:r>
      <w:r w:rsidR="002B68CB">
        <w:rPr>
          <w:rFonts w:cstheme="minorHAnsi"/>
          <w:spacing w:val="-5"/>
          <w:sz w:val="20"/>
          <w:vertAlign w:val="superscript"/>
          <w:lang w:val="en-US"/>
        </w:rPr>
        <w:t>th</w:t>
      </w:r>
      <w:r w:rsidRPr="002B68CB">
        <w:rPr>
          <w:rFonts w:cstheme="minorHAnsi"/>
          <w:spacing w:val="-5"/>
          <w:sz w:val="20"/>
          <w:lang w:val="en-US"/>
        </w:rPr>
        <w:t xml:space="preserve"> edi</w:t>
      </w:r>
      <w:r w:rsidR="002B68CB">
        <w:rPr>
          <w:rFonts w:cstheme="minorHAnsi"/>
          <w:spacing w:val="-5"/>
          <w:sz w:val="20"/>
          <w:lang w:val="en-US"/>
        </w:rPr>
        <w:t>tion</w:t>
      </w:r>
      <w:r w:rsidRPr="002B68CB">
        <w:rPr>
          <w:rFonts w:cstheme="minorHAnsi"/>
          <w:spacing w:val="-5"/>
          <w:sz w:val="20"/>
          <w:lang w:val="en-US"/>
        </w:rPr>
        <w:t>, Pearson, 20</w:t>
      </w:r>
      <w:r w:rsidR="002B68CB">
        <w:rPr>
          <w:rFonts w:cstheme="minorHAnsi"/>
          <w:spacing w:val="-5"/>
          <w:sz w:val="20"/>
          <w:lang w:val="en-US"/>
        </w:rPr>
        <w:t>22</w:t>
      </w:r>
      <w:r w:rsidRPr="002B68CB">
        <w:rPr>
          <w:rFonts w:cstheme="minorHAnsi"/>
          <w:spacing w:val="-5"/>
          <w:sz w:val="20"/>
          <w:lang w:val="en-US"/>
        </w:rPr>
        <w:t>.</w:t>
      </w:r>
    </w:p>
    <w:p w14:paraId="422BE5E4" w14:textId="77777777" w:rsidR="00BC7D1D" w:rsidRPr="00F6284C" w:rsidRDefault="00BC7D1D" w:rsidP="00BC7D1D">
      <w:pPr>
        <w:spacing w:before="240" w:after="120" w:line="220" w:lineRule="exact"/>
        <w:rPr>
          <w:b/>
          <w:i/>
          <w:sz w:val="18"/>
          <w:lang w:val="en-US"/>
        </w:rPr>
      </w:pPr>
      <w:r w:rsidRPr="00F6284C">
        <w:rPr>
          <w:b/>
          <w:i/>
          <w:sz w:val="18"/>
          <w:lang w:val="en-US"/>
        </w:rPr>
        <w:t>TEACHING METHOD</w:t>
      </w:r>
    </w:p>
    <w:p w14:paraId="291F4315" w14:textId="77777777" w:rsidR="00800426" w:rsidRPr="00EE6309" w:rsidRDefault="00800426" w:rsidP="004D04B1">
      <w:pPr>
        <w:tabs>
          <w:tab w:val="left" w:pos="1560"/>
        </w:tabs>
        <w:spacing w:before="120"/>
        <w:jc w:val="both"/>
        <w:rPr>
          <w:rFonts w:ascii="Times" w:hAnsi="Times"/>
          <w:noProof/>
          <w:lang w:val="en-US"/>
        </w:rPr>
      </w:pPr>
      <w:r w:rsidRPr="00EE6309">
        <w:rPr>
          <w:rFonts w:ascii="Times" w:hAnsi="Times"/>
          <w:noProof/>
          <w:lang w:val="en-US"/>
        </w:rPr>
        <w:t>The teaching method will embrace the following activities</w:t>
      </w:r>
      <w:r w:rsidR="00166AA9" w:rsidRPr="00EE6309">
        <w:rPr>
          <w:rFonts w:ascii="Times" w:hAnsi="Times"/>
          <w:noProof/>
          <w:lang w:val="en-US"/>
        </w:rPr>
        <w:t>:</w:t>
      </w:r>
    </w:p>
    <w:p w14:paraId="2F5D3BA5" w14:textId="77777777" w:rsidR="00DA5D45" w:rsidRPr="00EE6309" w:rsidRDefault="00800426" w:rsidP="004D04B1">
      <w:pPr>
        <w:tabs>
          <w:tab w:val="left" w:pos="1560"/>
        </w:tabs>
        <w:spacing w:before="120"/>
        <w:jc w:val="both"/>
        <w:rPr>
          <w:rFonts w:ascii="Times" w:hAnsi="Times"/>
          <w:noProof/>
          <w:lang w:val="en-US"/>
        </w:rPr>
      </w:pPr>
      <w:r w:rsidRPr="00EE6309">
        <w:rPr>
          <w:rFonts w:ascii="Times" w:hAnsi="Times"/>
          <w:noProof/>
          <w:lang w:val="en-US"/>
        </w:rPr>
        <w:t>1) Indoor class where main course topics will be covered along with several applied examples. Teaching methos will use high interactivity between teacher and students to stimulate discussion and also help breaking the barrier</w:t>
      </w:r>
      <w:r w:rsidR="00DA5D45" w:rsidRPr="00EE6309">
        <w:rPr>
          <w:rFonts w:ascii="Times" w:hAnsi="Times"/>
          <w:noProof/>
          <w:lang w:val="en-US"/>
        </w:rPr>
        <w:t xml:space="preserve"> </w:t>
      </w:r>
      <w:r w:rsidRPr="00EE6309">
        <w:rPr>
          <w:rFonts w:ascii="Times" w:hAnsi="Times"/>
          <w:noProof/>
          <w:lang w:val="en-US"/>
        </w:rPr>
        <w:t>of shyness</w:t>
      </w:r>
      <w:r w:rsidR="00DA5D45" w:rsidRPr="00EE6309">
        <w:rPr>
          <w:rFonts w:ascii="Times" w:hAnsi="Times"/>
          <w:noProof/>
          <w:lang w:val="en-US"/>
        </w:rPr>
        <w:t>.</w:t>
      </w:r>
    </w:p>
    <w:p w14:paraId="26C5F991" w14:textId="77777777" w:rsidR="00DA5D45" w:rsidRPr="00EE6309" w:rsidRDefault="00DA5D45" w:rsidP="00EE6309">
      <w:pPr>
        <w:tabs>
          <w:tab w:val="left" w:pos="1560"/>
        </w:tabs>
        <w:spacing w:before="120"/>
        <w:jc w:val="both"/>
        <w:rPr>
          <w:rFonts w:ascii="Times" w:hAnsi="Times"/>
          <w:noProof/>
          <w:lang w:val="en-US"/>
        </w:rPr>
      </w:pPr>
      <w:r w:rsidRPr="00EE6309">
        <w:rPr>
          <w:rFonts w:ascii="Times" w:hAnsi="Times"/>
          <w:noProof/>
          <w:lang w:val="en-US"/>
        </w:rPr>
        <w:t xml:space="preserve">2) </w:t>
      </w:r>
      <w:r w:rsidR="00EE6309" w:rsidRPr="00EE6309">
        <w:rPr>
          <w:rFonts w:ascii="Times" w:hAnsi="Times"/>
          <w:noProof/>
          <w:lang w:val="en-US"/>
        </w:rPr>
        <w:t>Laboratory activities where the students will leanr laboratory methods to isolate, count and charachterize microroganisms from food matrizes such as milk and yoghurt. Students will also vissit the electron microscopy facilities of the Faculty.</w:t>
      </w:r>
    </w:p>
    <w:p w14:paraId="1403F43D" w14:textId="77777777" w:rsidR="004D04B1" w:rsidRPr="00BC7D1D" w:rsidRDefault="004D04B1" w:rsidP="004D04B1">
      <w:pPr>
        <w:tabs>
          <w:tab w:val="left" w:pos="1560"/>
        </w:tabs>
        <w:spacing w:before="120"/>
        <w:jc w:val="both"/>
        <w:rPr>
          <w:rFonts w:ascii="Times" w:hAnsi="Times"/>
          <w:noProof/>
          <w:sz w:val="18"/>
          <w:lang w:val="en-US"/>
        </w:rPr>
      </w:pPr>
    </w:p>
    <w:p w14:paraId="76BD835A" w14:textId="77777777" w:rsidR="00B614A8" w:rsidRPr="00BC7D1D" w:rsidRDefault="00BC7D1D" w:rsidP="004E17C4">
      <w:pPr>
        <w:spacing w:before="240" w:after="120" w:line="220" w:lineRule="exact"/>
        <w:rPr>
          <w:b/>
          <w:i/>
          <w:sz w:val="18"/>
          <w:lang w:val="en-US"/>
        </w:rPr>
      </w:pPr>
      <w:r w:rsidRPr="00F6284C">
        <w:rPr>
          <w:b/>
          <w:i/>
          <w:sz w:val="18"/>
          <w:lang w:val="en-US"/>
        </w:rPr>
        <w:t>ASSESSMENT METHOD</w:t>
      </w:r>
      <w:r w:rsidR="00B614A8" w:rsidRPr="00BC7D1D">
        <w:rPr>
          <w:b/>
          <w:i/>
          <w:sz w:val="18"/>
          <w:lang w:val="en-US"/>
        </w:rPr>
        <w:t xml:space="preserve"> </w:t>
      </w:r>
      <w:r w:rsidR="001631A7">
        <w:rPr>
          <w:b/>
          <w:i/>
          <w:sz w:val="18"/>
          <w:lang w:val="en-US"/>
        </w:rPr>
        <w:t>AND EVALUATION CRITERIA</w:t>
      </w:r>
    </w:p>
    <w:p w14:paraId="5F650091" w14:textId="77777777" w:rsidR="00EE6309" w:rsidRPr="00EE6309" w:rsidRDefault="00EE6309" w:rsidP="00EE6309">
      <w:pPr>
        <w:jc w:val="both"/>
        <w:rPr>
          <w:rFonts w:ascii="Times" w:hAnsi="Times"/>
          <w:lang w:val="en-US"/>
        </w:rPr>
      </w:pPr>
      <w:r w:rsidRPr="00EE6309">
        <w:rPr>
          <w:rFonts w:ascii="Times" w:hAnsi="Times"/>
          <w:lang w:val="en-US"/>
        </w:rPr>
        <w:t>Final assessment will be made through an oral exam. At the middle of the course students have also the possibility of making a written exam covering the first three credits. The written exam will be made up of 18 multiple choice tests (1 point per each correct tests) and 6 open questions (2 points per each correct answer) totaling a maximum of 30 points. If a score above 18 is reached, the result of the written exam will have a validity of one year. During the oral exam, students who have passed the written exam can decide to be interrogated only on the remining credits, and an average between the two grades will be made.</w:t>
      </w:r>
    </w:p>
    <w:p w14:paraId="40D391AB" w14:textId="77777777" w:rsidR="00EE6309" w:rsidRPr="00EE6309" w:rsidRDefault="00EE6309" w:rsidP="00EE6309">
      <w:pPr>
        <w:jc w:val="both"/>
        <w:rPr>
          <w:rFonts w:ascii="Times" w:hAnsi="Times"/>
          <w:lang w:val="en-US"/>
        </w:rPr>
      </w:pPr>
      <w:r w:rsidRPr="00EE6309">
        <w:rPr>
          <w:rFonts w:ascii="Times" w:hAnsi="Times"/>
          <w:lang w:val="en-US"/>
        </w:rPr>
        <w:t xml:space="preserve">The evaluation criteria will be based on the levels of topics knowledge, comprehension and ability to make conceptual links between the different topics. The student must also demonstrate to be able to correctly use the technical language of the discipline. </w:t>
      </w:r>
    </w:p>
    <w:p w14:paraId="35340401" w14:textId="77777777" w:rsidR="00890EBE" w:rsidRDefault="00890EBE" w:rsidP="00890EBE">
      <w:pPr>
        <w:rPr>
          <w:rFonts w:ascii="Times" w:hAnsi="Times"/>
          <w:noProof/>
          <w:sz w:val="18"/>
          <w:lang w:val="en-US"/>
        </w:rPr>
      </w:pPr>
    </w:p>
    <w:p w14:paraId="0F88228B" w14:textId="77777777" w:rsidR="004D04B1" w:rsidRPr="00BC7D1D" w:rsidRDefault="004D04B1" w:rsidP="00BC7D1D">
      <w:pPr>
        <w:pStyle w:val="Heading1"/>
        <w:keepNext w:val="0"/>
        <w:tabs>
          <w:tab w:val="left" w:pos="284"/>
        </w:tabs>
        <w:spacing w:before="120" w:line="240" w:lineRule="exact"/>
        <w:rPr>
          <w:i w:val="0"/>
          <w:noProof/>
          <w:sz w:val="18"/>
          <w:lang w:val="en-US"/>
        </w:rPr>
      </w:pPr>
    </w:p>
    <w:p w14:paraId="74A1E4AB" w14:textId="77777777" w:rsidR="004E17C4" w:rsidRDefault="00175903">
      <w:pPr>
        <w:pStyle w:val="Heading2"/>
        <w:spacing w:before="120"/>
        <w:rPr>
          <w:rFonts w:ascii="Times New Roman" w:hAnsi="Times New Roman"/>
          <w:b/>
          <w:i/>
          <w:sz w:val="18"/>
          <w:u w:val="none"/>
          <w:lang w:val="en-US"/>
        </w:rPr>
      </w:pPr>
      <w:r>
        <w:rPr>
          <w:rFonts w:ascii="Times New Roman" w:hAnsi="Times New Roman"/>
          <w:b/>
          <w:i/>
          <w:sz w:val="18"/>
          <w:u w:val="none"/>
          <w:lang w:val="en-US"/>
        </w:rPr>
        <w:t>OTHER INFO AND PRE-REQUISITES</w:t>
      </w:r>
    </w:p>
    <w:p w14:paraId="01CE5A7A" w14:textId="77777777" w:rsidR="00EE6309" w:rsidRPr="00EE6309" w:rsidRDefault="00EE6309" w:rsidP="00EE6309">
      <w:pPr>
        <w:spacing w:line="276" w:lineRule="auto"/>
        <w:jc w:val="both"/>
        <w:rPr>
          <w:rFonts w:ascii="Times" w:hAnsi="Times"/>
          <w:lang w:val="en-US"/>
        </w:rPr>
      </w:pPr>
      <w:r w:rsidRPr="00EE6309">
        <w:rPr>
          <w:rFonts w:ascii="Times" w:hAnsi="Times"/>
          <w:lang w:val="en-US"/>
        </w:rPr>
        <w:t xml:space="preserve">There are no formal pre-requisites for the course. Students are however strongly encouraged in acquiring knowledges on metabolism and genetics that are provided by the Biochemistry course in the preceding semester. </w:t>
      </w:r>
    </w:p>
    <w:p w14:paraId="6471B297" w14:textId="77777777" w:rsidR="004E17C4" w:rsidRPr="00EE6309" w:rsidRDefault="004E17C4" w:rsidP="00EE6309">
      <w:pPr>
        <w:pStyle w:val="Heading2"/>
        <w:spacing w:before="120"/>
        <w:rPr>
          <w:b/>
          <w:i/>
          <w:sz w:val="18"/>
          <w:u w:val="none"/>
          <w:lang w:val="en-US"/>
        </w:rPr>
      </w:pPr>
    </w:p>
    <w:p w14:paraId="78DD3481" w14:textId="77777777" w:rsidR="00EE6309" w:rsidRPr="00EE6309" w:rsidRDefault="00EE6309" w:rsidP="00EE6309">
      <w:pPr>
        <w:jc w:val="both"/>
        <w:rPr>
          <w:rFonts w:ascii="Times" w:hAnsi="Times"/>
          <w:lang w:val="en-US"/>
        </w:rPr>
      </w:pPr>
      <w:r w:rsidRPr="00EE6309">
        <w:rPr>
          <w:rFonts w:ascii="Times" w:hAnsi="Times"/>
          <w:lang w:val="en-US"/>
        </w:rPr>
        <w:t>Prof. Edoardo Puglisi receive students after class or by appointment at the Department for Sustainable Food Systems (</w:t>
      </w:r>
      <w:proofErr w:type="spellStart"/>
      <w:r w:rsidRPr="00EE6309">
        <w:rPr>
          <w:rFonts w:ascii="Times" w:hAnsi="Times"/>
          <w:lang w:val="en-US"/>
        </w:rPr>
        <w:t>DiSTAS</w:t>
      </w:r>
      <w:proofErr w:type="spellEnd"/>
      <w:r w:rsidRPr="00EE6309">
        <w:rPr>
          <w:rFonts w:ascii="Times" w:hAnsi="Times"/>
          <w:lang w:val="en-US"/>
        </w:rPr>
        <w:t>)</w:t>
      </w:r>
    </w:p>
    <w:p w14:paraId="59342E0D" w14:textId="77777777" w:rsidR="003A05EC" w:rsidRPr="00BC7D1D" w:rsidRDefault="003A05EC" w:rsidP="003A05EC">
      <w:pPr>
        <w:rPr>
          <w:lang w:val="en-US"/>
        </w:rPr>
      </w:pPr>
    </w:p>
    <w:p w14:paraId="41D785DC" w14:textId="77777777" w:rsidR="003A05EC" w:rsidRPr="00BC7D1D" w:rsidRDefault="003A05EC">
      <w:pPr>
        <w:spacing w:before="120"/>
        <w:jc w:val="both"/>
        <w:rPr>
          <w:b/>
          <w:i/>
          <w:sz w:val="24"/>
          <w:szCs w:val="24"/>
          <w:lang w:val="en-US"/>
        </w:rPr>
      </w:pPr>
    </w:p>
    <w:p w14:paraId="04371A4C" w14:textId="77777777" w:rsidR="00B614A8" w:rsidRPr="00BC7D1D" w:rsidRDefault="00B614A8">
      <w:pPr>
        <w:jc w:val="both"/>
        <w:rPr>
          <w:sz w:val="24"/>
          <w:szCs w:val="24"/>
          <w:lang w:val="en-US"/>
        </w:rPr>
      </w:pPr>
    </w:p>
    <w:p w14:paraId="50F89320" w14:textId="77777777" w:rsidR="00B614A8" w:rsidRPr="00BC7D1D" w:rsidRDefault="00B614A8">
      <w:pPr>
        <w:jc w:val="both"/>
        <w:rPr>
          <w:b/>
          <w:i/>
          <w:sz w:val="24"/>
          <w:szCs w:val="24"/>
          <w:lang w:val="en-US"/>
        </w:rPr>
      </w:pPr>
    </w:p>
    <w:sectPr w:rsidR="00B614A8" w:rsidRPr="00BC7D1D" w:rsidSect="00EC74B7">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1964" w14:textId="77777777" w:rsidR="00BE26DA" w:rsidRDefault="00BE26DA">
      <w:r>
        <w:separator/>
      </w:r>
    </w:p>
  </w:endnote>
  <w:endnote w:type="continuationSeparator" w:id="0">
    <w:p w14:paraId="1EC3E5B7" w14:textId="77777777" w:rsidR="00BE26DA" w:rsidRDefault="00BE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6E43" w14:textId="77777777" w:rsidR="00BE26DA" w:rsidRDefault="00BE26DA">
      <w:r>
        <w:separator/>
      </w:r>
    </w:p>
  </w:footnote>
  <w:footnote w:type="continuationSeparator" w:id="0">
    <w:p w14:paraId="06CAE00E" w14:textId="77777777" w:rsidR="00BE26DA" w:rsidRDefault="00BE2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73D30"/>
    <w:multiLevelType w:val="hybridMultilevel"/>
    <w:tmpl w:val="0826E9A4"/>
    <w:lvl w:ilvl="0" w:tplc="FA32FCD8">
      <w:start w:val="1"/>
      <w:numFmt w:val="decimal"/>
      <w:lvlText w:val="%1."/>
      <w:lvlJc w:val="left"/>
      <w:pPr>
        <w:tabs>
          <w:tab w:val="num" w:pos="720"/>
        </w:tabs>
        <w:ind w:left="720" w:hanging="360"/>
      </w:pPr>
    </w:lvl>
    <w:lvl w:ilvl="1" w:tplc="09F0B51C">
      <w:numFmt w:val="none"/>
      <w:lvlText w:val=""/>
      <w:lvlJc w:val="left"/>
      <w:pPr>
        <w:tabs>
          <w:tab w:val="num" w:pos="360"/>
        </w:tabs>
      </w:pPr>
    </w:lvl>
    <w:lvl w:ilvl="2" w:tplc="8168FAC0">
      <w:numFmt w:val="none"/>
      <w:lvlText w:val=""/>
      <w:lvlJc w:val="left"/>
      <w:pPr>
        <w:tabs>
          <w:tab w:val="num" w:pos="360"/>
        </w:tabs>
      </w:pPr>
    </w:lvl>
    <w:lvl w:ilvl="3" w:tplc="5952F33A">
      <w:numFmt w:val="none"/>
      <w:lvlText w:val=""/>
      <w:lvlJc w:val="left"/>
      <w:pPr>
        <w:tabs>
          <w:tab w:val="num" w:pos="360"/>
        </w:tabs>
      </w:pPr>
    </w:lvl>
    <w:lvl w:ilvl="4" w:tplc="8B2C8528">
      <w:numFmt w:val="none"/>
      <w:lvlText w:val=""/>
      <w:lvlJc w:val="left"/>
      <w:pPr>
        <w:tabs>
          <w:tab w:val="num" w:pos="360"/>
        </w:tabs>
      </w:pPr>
    </w:lvl>
    <w:lvl w:ilvl="5" w:tplc="D0ACFC4E">
      <w:numFmt w:val="none"/>
      <w:lvlText w:val=""/>
      <w:lvlJc w:val="left"/>
      <w:pPr>
        <w:tabs>
          <w:tab w:val="num" w:pos="360"/>
        </w:tabs>
      </w:pPr>
    </w:lvl>
    <w:lvl w:ilvl="6" w:tplc="E88CC396">
      <w:numFmt w:val="none"/>
      <w:lvlText w:val=""/>
      <w:lvlJc w:val="left"/>
      <w:pPr>
        <w:tabs>
          <w:tab w:val="num" w:pos="360"/>
        </w:tabs>
      </w:pPr>
    </w:lvl>
    <w:lvl w:ilvl="7" w:tplc="0AEC587A">
      <w:numFmt w:val="none"/>
      <w:lvlText w:val=""/>
      <w:lvlJc w:val="left"/>
      <w:pPr>
        <w:tabs>
          <w:tab w:val="num" w:pos="360"/>
        </w:tabs>
      </w:pPr>
    </w:lvl>
    <w:lvl w:ilvl="8" w:tplc="B7CCC5EC">
      <w:numFmt w:val="none"/>
      <w:lvlText w:val=""/>
      <w:lvlJc w:val="left"/>
      <w:pPr>
        <w:tabs>
          <w:tab w:val="num" w:pos="360"/>
        </w:tabs>
      </w:pPr>
    </w:lvl>
  </w:abstractNum>
  <w:abstractNum w:abstractNumId="1" w15:restartNumberingAfterBreak="0">
    <w:nsid w:val="6CE9637A"/>
    <w:multiLevelType w:val="hybridMultilevel"/>
    <w:tmpl w:val="035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205444">
    <w:abstractNumId w:val="0"/>
  </w:num>
  <w:num w:numId="2" w16cid:durableId="38325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07343"/>
    <w:rsid w:val="00021A4A"/>
    <w:rsid w:val="000352AD"/>
    <w:rsid w:val="00054ABD"/>
    <w:rsid w:val="0009005B"/>
    <w:rsid w:val="001056DC"/>
    <w:rsid w:val="001411FD"/>
    <w:rsid w:val="001631A7"/>
    <w:rsid w:val="00166AA9"/>
    <w:rsid w:val="00175903"/>
    <w:rsid w:val="001A65D1"/>
    <w:rsid w:val="001C16D3"/>
    <w:rsid w:val="001C37AF"/>
    <w:rsid w:val="001F298E"/>
    <w:rsid w:val="00217BAA"/>
    <w:rsid w:val="0022508F"/>
    <w:rsid w:val="00231655"/>
    <w:rsid w:val="002722C3"/>
    <w:rsid w:val="002A11FA"/>
    <w:rsid w:val="002B68CB"/>
    <w:rsid w:val="002D1E5D"/>
    <w:rsid w:val="002D48E8"/>
    <w:rsid w:val="002E7284"/>
    <w:rsid w:val="00360068"/>
    <w:rsid w:val="003A05EC"/>
    <w:rsid w:val="003A2BB3"/>
    <w:rsid w:val="003B6E3B"/>
    <w:rsid w:val="0042391A"/>
    <w:rsid w:val="004738B1"/>
    <w:rsid w:val="004C7B03"/>
    <w:rsid w:val="004D04B1"/>
    <w:rsid w:val="004E17C4"/>
    <w:rsid w:val="00524D07"/>
    <w:rsid w:val="00540229"/>
    <w:rsid w:val="00545466"/>
    <w:rsid w:val="005D7117"/>
    <w:rsid w:val="00683813"/>
    <w:rsid w:val="006C0B0E"/>
    <w:rsid w:val="0072191D"/>
    <w:rsid w:val="00740A32"/>
    <w:rsid w:val="00755FC2"/>
    <w:rsid w:val="007E40BF"/>
    <w:rsid w:val="00800426"/>
    <w:rsid w:val="00840393"/>
    <w:rsid w:val="00865210"/>
    <w:rsid w:val="008763A0"/>
    <w:rsid w:val="00890EBE"/>
    <w:rsid w:val="00984AE2"/>
    <w:rsid w:val="009A60D7"/>
    <w:rsid w:val="009A76D3"/>
    <w:rsid w:val="009D2520"/>
    <w:rsid w:val="009D7E2D"/>
    <w:rsid w:val="009E1642"/>
    <w:rsid w:val="00A22CB4"/>
    <w:rsid w:val="00A743E8"/>
    <w:rsid w:val="00B0611B"/>
    <w:rsid w:val="00B604E1"/>
    <w:rsid w:val="00B614A8"/>
    <w:rsid w:val="00B6262B"/>
    <w:rsid w:val="00BC7D1D"/>
    <w:rsid w:val="00BE26DA"/>
    <w:rsid w:val="00BE65EC"/>
    <w:rsid w:val="00C33C8C"/>
    <w:rsid w:val="00C54BD4"/>
    <w:rsid w:val="00C70DD1"/>
    <w:rsid w:val="00CC78B0"/>
    <w:rsid w:val="00D2527C"/>
    <w:rsid w:val="00D91786"/>
    <w:rsid w:val="00D93EAE"/>
    <w:rsid w:val="00D974C6"/>
    <w:rsid w:val="00D97634"/>
    <w:rsid w:val="00DA5D45"/>
    <w:rsid w:val="00DD68CE"/>
    <w:rsid w:val="00DF748B"/>
    <w:rsid w:val="00E015CF"/>
    <w:rsid w:val="00E42557"/>
    <w:rsid w:val="00E66361"/>
    <w:rsid w:val="00E96AF6"/>
    <w:rsid w:val="00EB06B2"/>
    <w:rsid w:val="00EB1524"/>
    <w:rsid w:val="00EB5A3E"/>
    <w:rsid w:val="00EC74B7"/>
    <w:rsid w:val="00EE5947"/>
    <w:rsid w:val="00EE6309"/>
    <w:rsid w:val="00FA1D8E"/>
    <w:rsid w:val="00FE1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156F7"/>
  <w15:docId w15:val="{B3A10761-7DBD-4B2B-A8AD-C8036FB6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imes" w:hAnsi="Times"/>
      <w:i/>
      <w:sz w:val="26"/>
    </w:rPr>
  </w:style>
  <w:style w:type="paragraph" w:styleId="Heading2">
    <w:name w:val="heading 2"/>
    <w:basedOn w:val="Normal"/>
    <w:next w:val="Normal"/>
    <w:qFormat/>
    <w:pPr>
      <w:keepNext/>
      <w:jc w:val="both"/>
      <w:outlineLvl w:val="1"/>
    </w:pPr>
    <w:rPr>
      <w:rFonts w:ascii="Times" w:hAnsi="Times"/>
      <w:sz w:val="26"/>
      <w:u w:val="single"/>
    </w:rPr>
  </w:style>
  <w:style w:type="paragraph" w:styleId="Heading3">
    <w:name w:val="heading 3"/>
    <w:basedOn w:val="Normal"/>
    <w:next w:val="Normal"/>
    <w:qFormat/>
    <w:pPr>
      <w:keepNext/>
      <w:tabs>
        <w:tab w:val="left" w:pos="2835"/>
      </w:tabs>
      <w:spacing w:before="120"/>
      <w:ind w:left="2835" w:hanging="2835"/>
      <w:jc w:val="both"/>
      <w:outlineLvl w:val="2"/>
    </w:pPr>
    <w:rPr>
      <w:rFonts w:ascii="Times" w:hAnsi="Times"/>
      <w:sz w:val="26"/>
      <w:u w:val="single"/>
    </w:rPr>
  </w:style>
  <w:style w:type="paragraph" w:styleId="Heading4">
    <w:name w:val="heading 4"/>
    <w:basedOn w:val="Normal"/>
    <w:next w:val="Normal"/>
    <w:qFormat/>
    <w:pPr>
      <w:keepNext/>
      <w:outlineLvl w:val="3"/>
    </w:pPr>
    <w:rPr>
      <w:rFonts w:ascii="Times" w:hAns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sz w:val="26"/>
    </w:rPr>
  </w:style>
  <w:style w:type="character" w:styleId="Hyperlink">
    <w:name w:val="Hyperlink"/>
    <w:rPr>
      <w:color w:val="0000FF"/>
      <w:u w:val="single"/>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FollowedHyperlink">
    <w:name w:val="FollowedHyperlink"/>
    <w:rPr>
      <w:color w:val="800080"/>
      <w:u w:val="single"/>
    </w:rPr>
  </w:style>
  <w:style w:type="paragraph" w:styleId="BodyText">
    <w:name w:val="Body Text"/>
    <w:basedOn w:val="Normal"/>
    <w:pPr>
      <w:jc w:val="both"/>
    </w:pPr>
    <w:rPr>
      <w:rFonts w:ascii="Times" w:hAnsi="Times"/>
      <w:b/>
      <w:sz w:val="28"/>
    </w:rPr>
  </w:style>
  <w:style w:type="table" w:styleId="TableGrid">
    <w:name w:val="Table Grid"/>
    <w:basedOn w:val="TableNormal"/>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EE5947"/>
    <w:pPr>
      <w:spacing w:line="220" w:lineRule="exact"/>
      <w:ind w:firstLine="284"/>
      <w:jc w:val="both"/>
    </w:pPr>
    <w:rPr>
      <w:rFonts w:ascii="Times" w:hAnsi="Times"/>
      <w:noProof/>
      <w:sz w:val="18"/>
    </w:rPr>
  </w:style>
  <w:style w:type="paragraph" w:styleId="BalloonText">
    <w:name w:val="Balloon Text"/>
    <w:basedOn w:val="Normal"/>
    <w:link w:val="BalloonTextChar"/>
    <w:semiHidden/>
    <w:unhideWhenUsed/>
    <w:rsid w:val="00E96AF6"/>
    <w:rPr>
      <w:rFonts w:ascii="Segoe UI" w:hAnsi="Segoe UI" w:cs="Segoe UI"/>
      <w:sz w:val="18"/>
      <w:szCs w:val="18"/>
    </w:rPr>
  </w:style>
  <w:style w:type="character" w:customStyle="1" w:styleId="BalloonTextChar">
    <w:name w:val="Balloon Text Char"/>
    <w:basedOn w:val="DefaultParagraphFont"/>
    <w:link w:val="BalloonText"/>
    <w:semiHidden/>
    <w:rsid w:val="00E96AF6"/>
    <w:rPr>
      <w:rFonts w:ascii="Segoe UI" w:hAnsi="Segoe UI" w:cs="Segoe UI"/>
      <w:sz w:val="18"/>
      <w:szCs w:val="18"/>
    </w:rPr>
  </w:style>
  <w:style w:type="paragraph" w:styleId="ListParagraph">
    <w:name w:val="List Paragraph"/>
    <w:basedOn w:val="Normal"/>
    <w:uiPriority w:val="34"/>
    <w:qFormat/>
    <w:rsid w:val="00EE6309"/>
    <w:pPr>
      <w:ind w:left="720"/>
      <w:contextualSpacing/>
    </w:pPr>
  </w:style>
  <w:style w:type="paragraph" w:customStyle="1" w:styleId="Testo1">
    <w:name w:val="Testo 1"/>
    <w:rsid w:val="00EE6309"/>
    <w:pPr>
      <w:spacing w:line="220" w:lineRule="exact"/>
      <w:ind w:left="284" w:hanging="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50693">
      <w:bodyDiv w:val="1"/>
      <w:marLeft w:val="0"/>
      <w:marRight w:val="0"/>
      <w:marTop w:val="0"/>
      <w:marBottom w:val="0"/>
      <w:divBdr>
        <w:top w:val="none" w:sz="0" w:space="0" w:color="auto"/>
        <w:left w:val="none" w:sz="0" w:space="0" w:color="auto"/>
        <w:bottom w:val="none" w:sz="0" w:space="0" w:color="auto"/>
        <w:right w:val="none" w:sz="0" w:space="0" w:color="auto"/>
      </w:divBdr>
    </w:div>
    <w:div w:id="1428117209">
      <w:bodyDiv w:val="1"/>
      <w:marLeft w:val="0"/>
      <w:marRight w:val="0"/>
      <w:marTop w:val="0"/>
      <w:marBottom w:val="0"/>
      <w:divBdr>
        <w:top w:val="none" w:sz="0" w:space="0" w:color="auto"/>
        <w:left w:val="none" w:sz="0" w:space="0" w:color="auto"/>
        <w:bottom w:val="none" w:sz="0" w:space="0" w:color="auto"/>
        <w:right w:val="none" w:sz="0" w:space="0" w:color="auto"/>
      </w:divBdr>
    </w:div>
    <w:div w:id="20331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722</Words>
  <Characters>4286</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Puglisi Edoardo (edoardo.puglisi)</cp:lastModifiedBy>
  <cp:revision>5</cp:revision>
  <cp:lastPrinted>2010-04-13T10:33:00Z</cp:lastPrinted>
  <dcterms:created xsi:type="dcterms:W3CDTF">2020-06-11T13:47:00Z</dcterms:created>
  <dcterms:modified xsi:type="dcterms:W3CDTF">2022-05-05T12:57:00Z</dcterms:modified>
</cp:coreProperties>
</file>