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00C3" w14:textId="77777777" w:rsidR="00EF3570" w:rsidRPr="002F1FE0" w:rsidRDefault="00000000">
      <w:pPr>
        <w:pStyle w:val="Titolo1"/>
        <w:spacing w:before="0" w:after="120" w:line="240" w:lineRule="auto"/>
        <w:rPr>
          <w:rFonts w:ascii="Times New Roman" w:hAnsi="Times New Roman"/>
          <w:lang w:val="en-GB"/>
        </w:rPr>
      </w:pPr>
      <w:r w:rsidRPr="002F1FE0">
        <w:rPr>
          <w:lang w:val="en-GB"/>
        </w:rPr>
        <w:t>SUSTAINABLE USE OF AGRO-CHEMICALS IN AGRO-FOOD CHAINS</w:t>
      </w:r>
    </w:p>
    <w:p w14:paraId="6A4936A4" w14:textId="77777777" w:rsidR="00EF3570" w:rsidRPr="002F1FE0" w:rsidRDefault="00000000">
      <w:pPr>
        <w:pStyle w:val="P68B1DB1-Titolo21"/>
        <w:spacing w:after="120" w:line="240" w:lineRule="auto"/>
        <w:rPr>
          <w:lang w:val="en-GB"/>
        </w:rPr>
      </w:pPr>
      <w:r w:rsidRPr="002F1FE0">
        <w:rPr>
          <w:lang w:val="en-GB"/>
        </w:rPr>
        <w:t>Prof. Ettore Capri</w:t>
      </w:r>
    </w:p>
    <w:p w14:paraId="15C230E2" w14:textId="77777777" w:rsidR="00EF3570" w:rsidRPr="002F1FE0" w:rsidRDefault="00EF3570">
      <w:pPr>
        <w:spacing w:after="120" w:line="240" w:lineRule="auto"/>
        <w:rPr>
          <w:rFonts w:ascii="Times New Roman" w:hAnsi="Times New Roman"/>
          <w:lang w:val="en-GB"/>
        </w:rPr>
      </w:pPr>
    </w:p>
    <w:p w14:paraId="55DA18E1" w14:textId="77777777" w:rsidR="00EF3570" w:rsidRPr="002F1FE0" w:rsidRDefault="00000000">
      <w:pPr>
        <w:pStyle w:val="P68B1DB1-Normale2"/>
        <w:spacing w:after="120" w:line="240" w:lineRule="auto"/>
        <w:rPr>
          <w:lang w:val="en-GB"/>
        </w:rPr>
      </w:pPr>
      <w:r w:rsidRPr="002F1FE0">
        <w:rPr>
          <w:lang w:val="en-GB"/>
        </w:rPr>
        <w:t>COURSE AIMS AND INTENDED LEARNING OUTCOMES</w:t>
      </w:r>
    </w:p>
    <w:p w14:paraId="2AF95438" w14:textId="635D48B6" w:rsidR="00EF3570" w:rsidRPr="002F1FE0" w:rsidRDefault="00000000">
      <w:pPr>
        <w:pStyle w:val="P68B1DB1-Normale3"/>
        <w:spacing w:after="120" w:line="240" w:lineRule="auto"/>
        <w:rPr>
          <w:lang w:val="en-GB"/>
        </w:rPr>
      </w:pPr>
      <w:r w:rsidRPr="002F1FE0">
        <w:rPr>
          <w:lang w:val="en-GB"/>
        </w:rPr>
        <w:t>The aim of the course is to provide student</w:t>
      </w:r>
      <w:r w:rsidR="009A02B4">
        <w:rPr>
          <w:lang w:val="en-GB"/>
        </w:rPr>
        <w:t>s</w:t>
      </w:r>
      <w:r w:rsidRPr="002F1FE0">
        <w:rPr>
          <w:lang w:val="en-GB"/>
        </w:rPr>
        <w:t xml:space="preserve"> with (a) knowledge of the characteristics and sustainable use of agro-chemicals from an operational perspective, updated in line with the current interdisciplinary context of the agri-food production chain; (b) a basic knowledge of plant protection products and fertilisers in terms of the chemical and biochemical phenomena that regulate biological activity (efficacy), toxicology, degradation and metabolisation, behaviour in the environment, and the residues in agricultural production and foodstuffs from these derivatives; (c) knowledge of formulations, their miscibility and methods of good agricultural application.</w:t>
      </w:r>
    </w:p>
    <w:p w14:paraId="3A20B213" w14:textId="0CBB4C9B" w:rsidR="00EF3570" w:rsidRPr="002F1FE0" w:rsidRDefault="00000000">
      <w:pPr>
        <w:pStyle w:val="P68B1DB1-Normale3"/>
        <w:spacing w:after="120" w:line="240" w:lineRule="auto"/>
        <w:rPr>
          <w:lang w:val="en-GB"/>
        </w:rPr>
      </w:pPr>
      <w:r w:rsidRPr="002F1FE0">
        <w:rPr>
          <w:lang w:val="en-GB"/>
        </w:rPr>
        <w:t>Through the flow of topics covered, students will be able to understand the meaning of the scientific and technical procedures underlying a risk assessment, and establish guidelines for their sustainable use. The knowledge acquired during lectures will be consolidated through practical experiences carried out with experts in the field, through computer tutorials, seminar meetings with sector operators, and direct experience in the countryside at farms.</w:t>
      </w:r>
      <w:r w:rsidR="009A02B4">
        <w:rPr>
          <w:lang w:val="en-GB"/>
        </w:rPr>
        <w:t xml:space="preserve"> </w:t>
      </w:r>
    </w:p>
    <w:p w14:paraId="135C528E" w14:textId="77777777" w:rsidR="00EF3570" w:rsidRPr="002F1FE0" w:rsidRDefault="00000000">
      <w:pPr>
        <w:pStyle w:val="P68B1DB1-Normale3"/>
        <w:spacing w:after="120" w:line="240" w:lineRule="auto"/>
        <w:rPr>
          <w:lang w:val="en-GB"/>
        </w:rPr>
      </w:pPr>
      <w:r w:rsidRPr="002F1FE0">
        <w:rPr>
          <w:lang w:val="en-GB"/>
        </w:rPr>
        <w:t>At the end of the course, students will be able to:</w:t>
      </w:r>
    </w:p>
    <w:p w14:paraId="57D7C848" w14:textId="77777777" w:rsidR="00EF3570" w:rsidRPr="002F1FE0" w:rsidRDefault="00000000">
      <w:pPr>
        <w:pStyle w:val="P68B1DB1-Normale3"/>
        <w:spacing w:after="120" w:line="240" w:lineRule="auto"/>
        <w:rPr>
          <w:lang w:val="en-GB"/>
        </w:rPr>
      </w:pPr>
      <w:r w:rsidRPr="002F1FE0">
        <w:rPr>
          <w:lang w:val="en-GB"/>
        </w:rPr>
        <w:t xml:space="preserve">- apply the risk assessment procedures for the purposes of usage authorisation and correct agricultural management; </w:t>
      </w:r>
    </w:p>
    <w:p w14:paraId="0C2B62ED" w14:textId="146FEE31" w:rsidR="00EF3570" w:rsidRPr="002F1FE0" w:rsidRDefault="00000000">
      <w:pPr>
        <w:pStyle w:val="P68B1DB1-Normale3"/>
        <w:spacing w:after="120" w:line="240" w:lineRule="auto"/>
        <w:rPr>
          <w:lang w:val="en-GB"/>
        </w:rPr>
      </w:pPr>
      <w:r w:rsidRPr="002F1FE0">
        <w:rPr>
          <w:lang w:val="en-GB"/>
        </w:rPr>
        <w:t>- collect the data necessary for estimating environmental effects and behaviour, and also process them through the use of mathematical models and the most modern simulation and analytical methods</w:t>
      </w:r>
      <w:r w:rsidR="002F1FE0">
        <w:rPr>
          <w:lang w:val="en-GB"/>
        </w:rPr>
        <w:t>;</w:t>
      </w:r>
      <w:r w:rsidRPr="002F1FE0">
        <w:rPr>
          <w:lang w:val="en-GB"/>
        </w:rPr>
        <w:t xml:space="preserve"> </w:t>
      </w:r>
    </w:p>
    <w:p w14:paraId="777EDFBB" w14:textId="2B5FD50E" w:rsidR="00EF3570" w:rsidRPr="002F1FE0" w:rsidRDefault="00000000">
      <w:pPr>
        <w:pStyle w:val="P68B1DB1-Normale3"/>
        <w:spacing w:after="120" w:line="240" w:lineRule="auto"/>
        <w:rPr>
          <w:lang w:val="en-GB"/>
        </w:rPr>
      </w:pPr>
      <w:r w:rsidRPr="002F1FE0">
        <w:rPr>
          <w:lang w:val="en-GB"/>
        </w:rPr>
        <w:t>- apply sociological, economic and environmental interdisciplinary approaches to define the best risk mitigation strategies</w:t>
      </w:r>
      <w:r w:rsidR="002F1FE0">
        <w:rPr>
          <w:lang w:val="en-GB"/>
        </w:rPr>
        <w:t>;</w:t>
      </w:r>
      <w:r w:rsidRPr="002F1FE0">
        <w:rPr>
          <w:lang w:val="en-GB"/>
        </w:rPr>
        <w:t xml:space="preserve"> </w:t>
      </w:r>
    </w:p>
    <w:p w14:paraId="595A0DA1" w14:textId="77777777" w:rsidR="00EF3570" w:rsidRPr="002F1FE0" w:rsidRDefault="00000000">
      <w:pPr>
        <w:pStyle w:val="P68B1DB1-Normale3"/>
        <w:spacing w:after="120" w:line="240" w:lineRule="auto"/>
        <w:rPr>
          <w:lang w:val="en-GB"/>
        </w:rPr>
      </w:pPr>
      <w:r w:rsidRPr="002F1FE0">
        <w:rPr>
          <w:lang w:val="en-GB"/>
        </w:rPr>
        <w:t>- read a label, make mixtures and use calculation tools;</w:t>
      </w:r>
    </w:p>
    <w:p w14:paraId="6EC9CDB3" w14:textId="77777777" w:rsidR="00EF3570" w:rsidRPr="002F1FE0" w:rsidRDefault="00000000">
      <w:pPr>
        <w:pStyle w:val="P68B1DB1-Normale3"/>
        <w:spacing w:after="120" w:line="240" w:lineRule="auto"/>
        <w:rPr>
          <w:lang w:val="en-GB"/>
        </w:rPr>
      </w:pPr>
      <w:r w:rsidRPr="002F1FE0">
        <w:rPr>
          <w:lang w:val="en-GB"/>
        </w:rPr>
        <w:t xml:space="preserve">- measure the sustainability of uses in livestock, vineyard and horticultural farms. </w:t>
      </w:r>
    </w:p>
    <w:p w14:paraId="4EE541AA" w14:textId="77777777" w:rsidR="00EF3570" w:rsidRPr="002F1FE0" w:rsidRDefault="00000000">
      <w:pPr>
        <w:pStyle w:val="P68B1DB1-Normale2"/>
        <w:tabs>
          <w:tab w:val="clear" w:pos="284"/>
        </w:tabs>
        <w:spacing w:after="120" w:line="240" w:lineRule="auto"/>
        <w:jc w:val="left"/>
        <w:rPr>
          <w:lang w:val="en-GB"/>
        </w:rPr>
      </w:pPr>
      <w:r w:rsidRPr="002F1FE0">
        <w:rPr>
          <w:lang w:val="en-GB"/>
        </w:rPr>
        <w:br w:type="page"/>
      </w:r>
    </w:p>
    <w:p w14:paraId="4C14F77D" w14:textId="77777777" w:rsidR="00EF3570" w:rsidRPr="002F1FE0" w:rsidRDefault="00000000">
      <w:pPr>
        <w:pStyle w:val="P68B1DB1-Normale2"/>
        <w:spacing w:after="120" w:line="240" w:lineRule="auto"/>
        <w:rPr>
          <w:lang w:val="en-GB"/>
        </w:rPr>
      </w:pPr>
      <w:r w:rsidRPr="002F1FE0">
        <w:rPr>
          <w:lang w:val="en-GB"/>
        </w:rPr>
        <w:lastRenderedPageBreak/>
        <w:t>COURSE CONTENT</w:t>
      </w:r>
    </w:p>
    <w:tbl>
      <w:tblPr>
        <w:tblW w:w="6705" w:type="dxa"/>
        <w:tblBorders>
          <w:top w:val="single" w:sz="4" w:space="0" w:color="auto"/>
          <w:bottom w:val="single" w:sz="4" w:space="0" w:color="auto"/>
          <w:insideH w:val="single" w:sz="4" w:space="0" w:color="auto"/>
        </w:tblBorders>
        <w:tblLook w:val="01E0" w:firstRow="1" w:lastRow="1" w:firstColumn="1" w:lastColumn="1" w:noHBand="0" w:noVBand="0"/>
      </w:tblPr>
      <w:tblGrid>
        <w:gridCol w:w="6222"/>
        <w:gridCol w:w="483"/>
      </w:tblGrid>
      <w:tr w:rsidR="00EF3570" w:rsidRPr="002F1FE0" w14:paraId="5815493E" w14:textId="77777777">
        <w:trPr>
          <w:trHeight w:val="16"/>
        </w:trPr>
        <w:tc>
          <w:tcPr>
            <w:tcW w:w="6222" w:type="dxa"/>
            <w:shd w:val="clear" w:color="auto" w:fill="auto"/>
          </w:tcPr>
          <w:p w14:paraId="5B67635B" w14:textId="77777777" w:rsidR="00EF3570" w:rsidRPr="002F1FE0" w:rsidRDefault="00EF3570">
            <w:pPr>
              <w:spacing w:line="240" w:lineRule="auto"/>
              <w:rPr>
                <w:rFonts w:ascii="Times New Roman" w:hAnsi="Times New Roman"/>
                <w:lang w:val="en-GB"/>
              </w:rPr>
            </w:pPr>
          </w:p>
        </w:tc>
        <w:tc>
          <w:tcPr>
            <w:tcW w:w="483" w:type="dxa"/>
            <w:shd w:val="clear" w:color="auto" w:fill="auto"/>
          </w:tcPr>
          <w:p w14:paraId="285B77F2" w14:textId="77777777" w:rsidR="00EF3570" w:rsidRPr="002F1FE0" w:rsidRDefault="00000000">
            <w:pPr>
              <w:pStyle w:val="P68B1DB1-Normale3"/>
              <w:tabs>
                <w:tab w:val="clear" w:pos="284"/>
                <w:tab w:val="left" w:pos="255"/>
              </w:tabs>
              <w:spacing w:line="240" w:lineRule="auto"/>
              <w:ind w:left="-48"/>
              <w:rPr>
                <w:lang w:val="en-GB"/>
              </w:rPr>
            </w:pPr>
            <w:r w:rsidRPr="002F1FE0">
              <w:rPr>
                <w:lang w:val="en-GB"/>
              </w:rPr>
              <w:t>CF</w:t>
            </w:r>
          </w:p>
        </w:tc>
      </w:tr>
      <w:tr w:rsidR="00EF3570" w:rsidRPr="002F1FE0" w14:paraId="444CE566" w14:textId="77777777">
        <w:trPr>
          <w:trHeight w:val="16"/>
        </w:trPr>
        <w:tc>
          <w:tcPr>
            <w:tcW w:w="6222" w:type="dxa"/>
            <w:shd w:val="clear" w:color="auto" w:fill="auto"/>
          </w:tcPr>
          <w:p w14:paraId="43A7B08E" w14:textId="77777777" w:rsidR="00EF3570" w:rsidRPr="002F1FE0" w:rsidRDefault="00000000">
            <w:pPr>
              <w:pStyle w:val="P68B1DB1-Normale4"/>
              <w:spacing w:line="240" w:lineRule="auto"/>
              <w:rPr>
                <w:lang w:val="en-GB"/>
              </w:rPr>
            </w:pPr>
            <w:r w:rsidRPr="002F1FE0">
              <w:rPr>
                <w:lang w:val="en-GB"/>
              </w:rPr>
              <w:t>Introduction to the course and definitions</w:t>
            </w:r>
          </w:p>
        </w:tc>
        <w:tc>
          <w:tcPr>
            <w:tcW w:w="483" w:type="dxa"/>
            <w:shd w:val="clear" w:color="auto" w:fill="auto"/>
          </w:tcPr>
          <w:p w14:paraId="132D1A0B" w14:textId="77777777" w:rsidR="00EF3570" w:rsidRPr="002F1FE0" w:rsidRDefault="00EF3570">
            <w:pPr>
              <w:spacing w:line="240" w:lineRule="auto"/>
              <w:rPr>
                <w:rFonts w:ascii="Times New Roman" w:hAnsi="Times New Roman"/>
                <w:lang w:val="en-GB"/>
              </w:rPr>
            </w:pPr>
          </w:p>
        </w:tc>
      </w:tr>
      <w:tr w:rsidR="00EF3570" w:rsidRPr="002F1FE0" w14:paraId="00832320" w14:textId="77777777">
        <w:trPr>
          <w:trHeight w:val="16"/>
        </w:trPr>
        <w:tc>
          <w:tcPr>
            <w:tcW w:w="6222" w:type="dxa"/>
            <w:shd w:val="clear" w:color="auto" w:fill="auto"/>
          </w:tcPr>
          <w:p w14:paraId="550945E2" w14:textId="77777777" w:rsidR="00EF3570" w:rsidRPr="002F1FE0" w:rsidRDefault="00000000">
            <w:pPr>
              <w:pStyle w:val="P68B1DB1-Normale3"/>
              <w:spacing w:line="240" w:lineRule="auto"/>
              <w:rPr>
                <w:lang w:val="en-GB"/>
              </w:rPr>
            </w:pPr>
            <w:r w:rsidRPr="002F1FE0">
              <w:rPr>
                <w:lang w:val="en-GB"/>
              </w:rPr>
              <w:t xml:space="preserve">Introduction to the course and definition of agro-pharmaceuticals, plant protection products, pesticides, biocides, and fertilisers. Use of chemicals and their effect on food availability and the health status of populations. </w:t>
            </w:r>
          </w:p>
        </w:tc>
        <w:tc>
          <w:tcPr>
            <w:tcW w:w="483" w:type="dxa"/>
            <w:shd w:val="clear" w:color="auto" w:fill="auto"/>
          </w:tcPr>
          <w:p w14:paraId="5FCAC20C" w14:textId="77777777" w:rsidR="00EF3570" w:rsidRPr="002F1FE0" w:rsidRDefault="00000000">
            <w:pPr>
              <w:pStyle w:val="P68B1DB1-Normale3"/>
              <w:spacing w:line="240" w:lineRule="auto"/>
              <w:rPr>
                <w:lang w:val="en-GB"/>
              </w:rPr>
            </w:pPr>
            <w:r w:rsidRPr="002F1FE0">
              <w:rPr>
                <w:lang w:val="en-GB"/>
              </w:rPr>
              <w:t>0.3</w:t>
            </w:r>
          </w:p>
        </w:tc>
      </w:tr>
      <w:tr w:rsidR="00EF3570" w:rsidRPr="002F1FE0" w14:paraId="388DF7F8" w14:textId="77777777">
        <w:trPr>
          <w:trHeight w:val="16"/>
        </w:trPr>
        <w:tc>
          <w:tcPr>
            <w:tcW w:w="6222" w:type="dxa"/>
            <w:shd w:val="clear" w:color="auto" w:fill="auto"/>
          </w:tcPr>
          <w:p w14:paraId="41E73128" w14:textId="77777777" w:rsidR="00EF3570" w:rsidRPr="002F1FE0" w:rsidRDefault="00000000">
            <w:pPr>
              <w:pStyle w:val="P68B1DB1-Normale4"/>
              <w:spacing w:line="240" w:lineRule="auto"/>
              <w:rPr>
                <w:lang w:val="en-GB"/>
              </w:rPr>
            </w:pPr>
            <w:r w:rsidRPr="002F1FE0">
              <w:rPr>
                <w:lang w:val="en-GB"/>
              </w:rPr>
              <w:t>Production and consumption of agrochemicals</w:t>
            </w:r>
          </w:p>
        </w:tc>
        <w:tc>
          <w:tcPr>
            <w:tcW w:w="483" w:type="dxa"/>
            <w:shd w:val="clear" w:color="auto" w:fill="auto"/>
          </w:tcPr>
          <w:p w14:paraId="5D559DA7" w14:textId="77777777" w:rsidR="00EF3570" w:rsidRPr="002F1FE0" w:rsidRDefault="00EF3570">
            <w:pPr>
              <w:spacing w:line="240" w:lineRule="auto"/>
              <w:rPr>
                <w:rFonts w:ascii="Times New Roman" w:hAnsi="Times New Roman"/>
                <w:b/>
                <w:lang w:val="en-GB"/>
              </w:rPr>
            </w:pPr>
          </w:p>
        </w:tc>
      </w:tr>
      <w:tr w:rsidR="00EF3570" w:rsidRPr="002F1FE0" w14:paraId="5A0ED246" w14:textId="77777777">
        <w:trPr>
          <w:trHeight w:val="16"/>
        </w:trPr>
        <w:tc>
          <w:tcPr>
            <w:tcW w:w="6222" w:type="dxa"/>
            <w:shd w:val="clear" w:color="auto" w:fill="auto"/>
          </w:tcPr>
          <w:p w14:paraId="396EB8F0" w14:textId="77777777" w:rsidR="00EF3570" w:rsidRPr="002F1FE0" w:rsidRDefault="00000000">
            <w:pPr>
              <w:pStyle w:val="P68B1DB1-Normale3"/>
              <w:spacing w:line="240" w:lineRule="auto"/>
              <w:rPr>
                <w:lang w:val="en-GB"/>
              </w:rPr>
            </w:pPr>
            <w:r w:rsidRPr="002F1FE0">
              <w:rPr>
                <w:lang w:val="en-GB"/>
              </w:rPr>
              <w:t>Global and national consumption of plant protection products and their evolution over the years.</w:t>
            </w:r>
          </w:p>
        </w:tc>
        <w:tc>
          <w:tcPr>
            <w:tcW w:w="483" w:type="dxa"/>
            <w:shd w:val="clear" w:color="auto" w:fill="auto"/>
          </w:tcPr>
          <w:p w14:paraId="67B9B2D7" w14:textId="77777777" w:rsidR="00EF3570" w:rsidRPr="002F1FE0" w:rsidRDefault="00000000">
            <w:pPr>
              <w:pStyle w:val="P68B1DB1-Normale3"/>
              <w:spacing w:line="240" w:lineRule="auto"/>
              <w:rPr>
                <w:lang w:val="en-GB"/>
              </w:rPr>
            </w:pPr>
            <w:r w:rsidRPr="002F1FE0">
              <w:rPr>
                <w:lang w:val="en-GB"/>
              </w:rPr>
              <w:t>0.1</w:t>
            </w:r>
          </w:p>
        </w:tc>
      </w:tr>
      <w:tr w:rsidR="00EF3570" w:rsidRPr="002F1FE0" w14:paraId="329753C1" w14:textId="77777777">
        <w:trPr>
          <w:trHeight w:val="16"/>
        </w:trPr>
        <w:tc>
          <w:tcPr>
            <w:tcW w:w="6222" w:type="dxa"/>
            <w:shd w:val="clear" w:color="auto" w:fill="auto"/>
          </w:tcPr>
          <w:p w14:paraId="05A59E0D" w14:textId="77777777" w:rsidR="00EF3570" w:rsidRPr="002F1FE0" w:rsidRDefault="00000000">
            <w:pPr>
              <w:pStyle w:val="P68B1DB1-Normale4"/>
              <w:spacing w:line="240" w:lineRule="auto"/>
              <w:rPr>
                <w:lang w:val="en-GB"/>
              </w:rPr>
            </w:pPr>
            <w:r w:rsidRPr="002F1FE0">
              <w:rPr>
                <w:lang w:val="en-GB"/>
              </w:rPr>
              <w:t xml:space="preserve">Toxicology of agrochemicals </w:t>
            </w:r>
          </w:p>
        </w:tc>
        <w:tc>
          <w:tcPr>
            <w:tcW w:w="483" w:type="dxa"/>
            <w:shd w:val="clear" w:color="auto" w:fill="auto"/>
          </w:tcPr>
          <w:p w14:paraId="3DAD0B4D" w14:textId="77777777" w:rsidR="00EF3570" w:rsidRPr="002F1FE0" w:rsidRDefault="00EF3570">
            <w:pPr>
              <w:spacing w:line="240" w:lineRule="auto"/>
              <w:rPr>
                <w:rFonts w:ascii="Times New Roman" w:hAnsi="Times New Roman"/>
                <w:b/>
                <w:lang w:val="en-GB"/>
              </w:rPr>
            </w:pPr>
          </w:p>
        </w:tc>
      </w:tr>
      <w:tr w:rsidR="00EF3570" w:rsidRPr="002F1FE0" w14:paraId="64649157" w14:textId="77777777">
        <w:trPr>
          <w:trHeight w:val="16"/>
        </w:trPr>
        <w:tc>
          <w:tcPr>
            <w:tcW w:w="6222" w:type="dxa"/>
            <w:shd w:val="clear" w:color="auto" w:fill="auto"/>
          </w:tcPr>
          <w:p w14:paraId="7274D13A" w14:textId="77777777" w:rsidR="00EF3570" w:rsidRPr="002F1FE0" w:rsidRDefault="00000000">
            <w:pPr>
              <w:pStyle w:val="P68B1DB1-Normale3"/>
              <w:spacing w:line="240" w:lineRule="auto"/>
              <w:rPr>
                <w:lang w:val="en-GB"/>
              </w:rPr>
            </w:pPr>
            <w:r w:rsidRPr="002F1FE0">
              <w:rPr>
                <w:lang w:val="en-GB"/>
              </w:rPr>
              <w:t>Toxic phenomena. Acute and long-term toxicity and the parameters for expressing them. NOEL, ADI and RMA.</w:t>
            </w:r>
          </w:p>
        </w:tc>
        <w:tc>
          <w:tcPr>
            <w:tcW w:w="483" w:type="dxa"/>
            <w:shd w:val="clear" w:color="auto" w:fill="auto"/>
          </w:tcPr>
          <w:p w14:paraId="068B8E2B" w14:textId="77777777" w:rsidR="00EF3570" w:rsidRPr="002F1FE0" w:rsidRDefault="00000000">
            <w:pPr>
              <w:pStyle w:val="P68B1DB1-Normale3"/>
              <w:spacing w:line="240" w:lineRule="auto"/>
              <w:rPr>
                <w:lang w:val="en-GB"/>
              </w:rPr>
            </w:pPr>
            <w:r w:rsidRPr="002F1FE0">
              <w:rPr>
                <w:lang w:val="en-GB"/>
              </w:rPr>
              <w:t>0.3</w:t>
            </w:r>
          </w:p>
          <w:p w14:paraId="32D9B0E8" w14:textId="77777777" w:rsidR="00EF3570" w:rsidRPr="002F1FE0" w:rsidRDefault="00EF3570">
            <w:pPr>
              <w:spacing w:line="240" w:lineRule="auto"/>
              <w:rPr>
                <w:rFonts w:ascii="Times New Roman" w:hAnsi="Times New Roman"/>
                <w:lang w:val="en-GB"/>
              </w:rPr>
            </w:pPr>
          </w:p>
        </w:tc>
      </w:tr>
      <w:tr w:rsidR="00EF3570" w:rsidRPr="002F1FE0" w14:paraId="008AB2EE" w14:textId="77777777">
        <w:trPr>
          <w:trHeight w:val="16"/>
        </w:trPr>
        <w:tc>
          <w:tcPr>
            <w:tcW w:w="6222" w:type="dxa"/>
            <w:shd w:val="clear" w:color="auto" w:fill="auto"/>
          </w:tcPr>
          <w:p w14:paraId="0128A760" w14:textId="77777777" w:rsidR="00EF3570" w:rsidRPr="002F1FE0" w:rsidRDefault="00000000">
            <w:pPr>
              <w:pStyle w:val="P68B1DB1-Normale4"/>
              <w:spacing w:line="240" w:lineRule="auto"/>
              <w:rPr>
                <w:lang w:val="en-GB"/>
              </w:rPr>
            </w:pPr>
            <w:r w:rsidRPr="002F1FE0">
              <w:rPr>
                <w:lang w:val="en-GB"/>
              </w:rPr>
              <w:t>Legislation covering production, marketing and use</w:t>
            </w:r>
          </w:p>
        </w:tc>
        <w:tc>
          <w:tcPr>
            <w:tcW w:w="483" w:type="dxa"/>
            <w:shd w:val="clear" w:color="auto" w:fill="auto"/>
          </w:tcPr>
          <w:p w14:paraId="0FA9CF84" w14:textId="77777777" w:rsidR="00EF3570" w:rsidRPr="002F1FE0" w:rsidRDefault="00EF3570">
            <w:pPr>
              <w:spacing w:line="240" w:lineRule="auto"/>
              <w:rPr>
                <w:rFonts w:ascii="Times New Roman" w:hAnsi="Times New Roman"/>
                <w:b/>
                <w:lang w:val="en-GB"/>
              </w:rPr>
            </w:pPr>
          </w:p>
        </w:tc>
      </w:tr>
      <w:tr w:rsidR="00EF3570" w:rsidRPr="002F1FE0" w14:paraId="02EDE9A3" w14:textId="77777777">
        <w:trPr>
          <w:trHeight w:val="16"/>
        </w:trPr>
        <w:tc>
          <w:tcPr>
            <w:tcW w:w="6222" w:type="dxa"/>
            <w:shd w:val="clear" w:color="auto" w:fill="auto"/>
          </w:tcPr>
          <w:p w14:paraId="63FF075F" w14:textId="77777777" w:rsidR="00EF3570" w:rsidRPr="002F1FE0" w:rsidRDefault="00000000">
            <w:pPr>
              <w:pStyle w:val="P68B1DB1-Normale3"/>
              <w:spacing w:line="240" w:lineRule="auto"/>
              <w:rPr>
                <w:lang w:val="en-GB"/>
              </w:rPr>
            </w:pPr>
            <w:r w:rsidRPr="002F1FE0">
              <w:rPr>
                <w:lang w:val="en-GB"/>
              </w:rPr>
              <w:t>Fundamental concepts of regulatory requirements for production, marketing and application.</w:t>
            </w:r>
          </w:p>
        </w:tc>
        <w:tc>
          <w:tcPr>
            <w:tcW w:w="483" w:type="dxa"/>
            <w:shd w:val="clear" w:color="auto" w:fill="auto"/>
          </w:tcPr>
          <w:p w14:paraId="49CAC4D5" w14:textId="77777777" w:rsidR="00EF3570" w:rsidRPr="002F1FE0" w:rsidRDefault="00000000">
            <w:pPr>
              <w:pStyle w:val="P68B1DB1-Normale3"/>
              <w:spacing w:line="240" w:lineRule="auto"/>
              <w:rPr>
                <w:lang w:val="en-GB"/>
              </w:rPr>
            </w:pPr>
            <w:r w:rsidRPr="002F1FE0">
              <w:rPr>
                <w:lang w:val="en-GB"/>
              </w:rPr>
              <w:t>0.3</w:t>
            </w:r>
          </w:p>
        </w:tc>
      </w:tr>
      <w:tr w:rsidR="00EF3570" w:rsidRPr="002F1FE0" w14:paraId="2AADC686" w14:textId="77777777">
        <w:trPr>
          <w:trHeight w:val="16"/>
        </w:trPr>
        <w:tc>
          <w:tcPr>
            <w:tcW w:w="6222" w:type="dxa"/>
            <w:shd w:val="clear" w:color="auto" w:fill="auto"/>
          </w:tcPr>
          <w:p w14:paraId="7C28C5E9" w14:textId="77777777" w:rsidR="00EF3570" w:rsidRPr="002F1FE0" w:rsidRDefault="00000000">
            <w:pPr>
              <w:pStyle w:val="P68B1DB1-Normale4"/>
              <w:spacing w:line="240" w:lineRule="auto"/>
              <w:rPr>
                <w:lang w:val="en-GB"/>
              </w:rPr>
            </w:pPr>
            <w:r w:rsidRPr="002F1FE0">
              <w:rPr>
                <w:lang w:val="en-GB"/>
              </w:rPr>
              <w:t xml:space="preserve">Classification </w:t>
            </w:r>
          </w:p>
        </w:tc>
        <w:tc>
          <w:tcPr>
            <w:tcW w:w="483" w:type="dxa"/>
            <w:shd w:val="clear" w:color="auto" w:fill="auto"/>
          </w:tcPr>
          <w:p w14:paraId="433D8896" w14:textId="77777777" w:rsidR="00EF3570" w:rsidRPr="002F1FE0" w:rsidRDefault="00EF3570">
            <w:pPr>
              <w:spacing w:line="240" w:lineRule="auto"/>
              <w:rPr>
                <w:rFonts w:ascii="Times New Roman" w:hAnsi="Times New Roman"/>
                <w:b/>
                <w:lang w:val="en-GB"/>
              </w:rPr>
            </w:pPr>
          </w:p>
        </w:tc>
      </w:tr>
      <w:tr w:rsidR="00EF3570" w:rsidRPr="002F1FE0" w14:paraId="5D4DECD6" w14:textId="77777777">
        <w:trPr>
          <w:trHeight w:val="16"/>
        </w:trPr>
        <w:tc>
          <w:tcPr>
            <w:tcW w:w="6222" w:type="dxa"/>
            <w:shd w:val="clear" w:color="auto" w:fill="auto"/>
          </w:tcPr>
          <w:p w14:paraId="67A5C8F6" w14:textId="77777777" w:rsidR="00EF3570" w:rsidRPr="002F1FE0" w:rsidRDefault="00000000">
            <w:pPr>
              <w:pStyle w:val="P68B1DB1-Normale3"/>
              <w:spacing w:line="240" w:lineRule="auto"/>
              <w:rPr>
                <w:lang w:val="en-GB"/>
              </w:rPr>
            </w:pPr>
            <w:r w:rsidRPr="002F1FE0">
              <w:rPr>
                <w:lang w:val="en-GB"/>
              </w:rPr>
              <w:t>Nomenclature. Classification in terms of chemistry and function, usage, etc.</w:t>
            </w:r>
          </w:p>
        </w:tc>
        <w:tc>
          <w:tcPr>
            <w:tcW w:w="483" w:type="dxa"/>
            <w:shd w:val="clear" w:color="auto" w:fill="auto"/>
          </w:tcPr>
          <w:p w14:paraId="5E1B6DBE" w14:textId="77777777" w:rsidR="00EF3570" w:rsidRPr="002F1FE0" w:rsidRDefault="00000000">
            <w:pPr>
              <w:pStyle w:val="P68B1DB1-Normale3"/>
              <w:spacing w:line="240" w:lineRule="auto"/>
              <w:rPr>
                <w:lang w:val="en-GB"/>
              </w:rPr>
            </w:pPr>
            <w:r w:rsidRPr="002F1FE0">
              <w:rPr>
                <w:lang w:val="en-GB"/>
              </w:rPr>
              <w:t>0.3</w:t>
            </w:r>
          </w:p>
        </w:tc>
      </w:tr>
      <w:tr w:rsidR="00EF3570" w:rsidRPr="002F1FE0" w14:paraId="76FE918D" w14:textId="77777777">
        <w:trPr>
          <w:trHeight w:val="16"/>
        </w:trPr>
        <w:tc>
          <w:tcPr>
            <w:tcW w:w="6222" w:type="dxa"/>
            <w:shd w:val="clear" w:color="auto" w:fill="auto"/>
          </w:tcPr>
          <w:p w14:paraId="1183AD47" w14:textId="77777777" w:rsidR="00EF3570" w:rsidRPr="002F1FE0" w:rsidRDefault="00000000">
            <w:pPr>
              <w:pStyle w:val="P68B1DB1-Normale4"/>
              <w:spacing w:line="240" w:lineRule="auto"/>
              <w:rPr>
                <w:lang w:val="en-GB"/>
              </w:rPr>
            </w:pPr>
            <w:r w:rsidRPr="002F1FE0">
              <w:rPr>
                <w:lang w:val="en-GB"/>
              </w:rPr>
              <w:t>Formulations</w:t>
            </w:r>
          </w:p>
        </w:tc>
        <w:tc>
          <w:tcPr>
            <w:tcW w:w="483" w:type="dxa"/>
            <w:shd w:val="clear" w:color="auto" w:fill="auto"/>
          </w:tcPr>
          <w:p w14:paraId="039B46FA" w14:textId="77777777" w:rsidR="00EF3570" w:rsidRPr="002F1FE0" w:rsidRDefault="00EF3570">
            <w:pPr>
              <w:spacing w:line="240" w:lineRule="auto"/>
              <w:rPr>
                <w:rFonts w:ascii="Times New Roman" w:hAnsi="Times New Roman"/>
                <w:b/>
                <w:lang w:val="en-GB"/>
              </w:rPr>
            </w:pPr>
          </w:p>
        </w:tc>
      </w:tr>
      <w:tr w:rsidR="00EF3570" w:rsidRPr="002F1FE0" w14:paraId="7DF162D5" w14:textId="77777777">
        <w:trPr>
          <w:trHeight w:val="16"/>
        </w:trPr>
        <w:tc>
          <w:tcPr>
            <w:tcW w:w="6222" w:type="dxa"/>
            <w:shd w:val="clear" w:color="auto" w:fill="auto"/>
          </w:tcPr>
          <w:p w14:paraId="1F22B8EC" w14:textId="167D32CF" w:rsidR="00EF3570" w:rsidRPr="002F1FE0" w:rsidRDefault="00000000">
            <w:pPr>
              <w:pStyle w:val="P68B1DB1-Normale3"/>
              <w:spacing w:line="240" w:lineRule="auto"/>
              <w:rPr>
                <w:lang w:val="en-GB"/>
              </w:rPr>
            </w:pPr>
            <w:r w:rsidRPr="002F1FE0">
              <w:rPr>
                <w:lang w:val="en-GB"/>
              </w:rPr>
              <w:t>Characteristics of the target surfaces, types of application and chemical-physical characteristics of the formulations</w:t>
            </w:r>
            <w:r w:rsidR="002F1FE0">
              <w:rPr>
                <w:lang w:val="en-GB"/>
              </w:rPr>
              <w:t>.</w:t>
            </w:r>
          </w:p>
        </w:tc>
        <w:tc>
          <w:tcPr>
            <w:tcW w:w="483" w:type="dxa"/>
            <w:shd w:val="clear" w:color="auto" w:fill="auto"/>
          </w:tcPr>
          <w:p w14:paraId="121D0264" w14:textId="77777777" w:rsidR="00EF3570" w:rsidRPr="002F1FE0" w:rsidRDefault="00000000">
            <w:pPr>
              <w:pStyle w:val="P68B1DB1-Normale3"/>
              <w:spacing w:line="240" w:lineRule="auto"/>
              <w:rPr>
                <w:lang w:val="en-GB"/>
              </w:rPr>
            </w:pPr>
            <w:r w:rsidRPr="002F1FE0">
              <w:rPr>
                <w:lang w:val="en-GB"/>
              </w:rPr>
              <w:t>0.3</w:t>
            </w:r>
          </w:p>
        </w:tc>
      </w:tr>
      <w:tr w:rsidR="00EF3570" w:rsidRPr="002F1FE0" w14:paraId="10A0F9A4" w14:textId="77777777">
        <w:trPr>
          <w:trHeight w:val="16"/>
        </w:trPr>
        <w:tc>
          <w:tcPr>
            <w:tcW w:w="6222" w:type="dxa"/>
            <w:shd w:val="clear" w:color="auto" w:fill="auto"/>
          </w:tcPr>
          <w:p w14:paraId="30698189" w14:textId="77777777" w:rsidR="00EF3570" w:rsidRPr="002F1FE0" w:rsidRDefault="00000000">
            <w:pPr>
              <w:pStyle w:val="P68B1DB1-Normale4"/>
              <w:keepNext/>
              <w:keepLines/>
              <w:spacing w:line="240" w:lineRule="auto"/>
              <w:rPr>
                <w:lang w:val="en-GB"/>
              </w:rPr>
            </w:pPr>
            <w:r w:rsidRPr="002F1FE0">
              <w:rPr>
                <w:lang w:val="en-GB"/>
              </w:rPr>
              <w:t>Metabolism and degradation</w:t>
            </w:r>
          </w:p>
        </w:tc>
        <w:tc>
          <w:tcPr>
            <w:tcW w:w="483" w:type="dxa"/>
            <w:shd w:val="clear" w:color="auto" w:fill="auto"/>
          </w:tcPr>
          <w:p w14:paraId="5A9B3DDC" w14:textId="77777777" w:rsidR="00EF3570" w:rsidRPr="002F1FE0" w:rsidRDefault="00EF3570">
            <w:pPr>
              <w:spacing w:line="240" w:lineRule="auto"/>
              <w:rPr>
                <w:rFonts w:ascii="Times New Roman" w:hAnsi="Times New Roman"/>
                <w:b/>
                <w:lang w:val="en-GB"/>
              </w:rPr>
            </w:pPr>
          </w:p>
        </w:tc>
      </w:tr>
      <w:tr w:rsidR="00EF3570" w:rsidRPr="002F1FE0" w14:paraId="0E7AC65F" w14:textId="77777777">
        <w:trPr>
          <w:trHeight w:val="16"/>
        </w:trPr>
        <w:tc>
          <w:tcPr>
            <w:tcW w:w="6222" w:type="dxa"/>
            <w:shd w:val="clear" w:color="auto" w:fill="auto"/>
          </w:tcPr>
          <w:p w14:paraId="0A95BE75" w14:textId="5C12F5EE" w:rsidR="00EF3570" w:rsidRPr="002F1FE0" w:rsidRDefault="00000000">
            <w:pPr>
              <w:pStyle w:val="P68B1DB1-Normale3"/>
              <w:keepNext/>
              <w:keepLines/>
              <w:spacing w:line="240" w:lineRule="auto"/>
              <w:rPr>
                <w:lang w:val="en-GB"/>
              </w:rPr>
            </w:pPr>
            <w:r w:rsidRPr="002F1FE0">
              <w:rPr>
                <w:lang w:val="en-GB"/>
              </w:rPr>
              <w:t>General principles of metabolism and chemical degradation. Behaviour of an agro-pharmaceutical in the soil (adsorption, mobility, volatilisation, degradation, etc.) and from the environment to the food chain, to food. Residues and metabolites</w:t>
            </w:r>
            <w:r w:rsidR="002F1FE0">
              <w:rPr>
                <w:lang w:val="en-GB"/>
              </w:rPr>
              <w:t>.</w:t>
            </w:r>
          </w:p>
        </w:tc>
        <w:tc>
          <w:tcPr>
            <w:tcW w:w="483" w:type="dxa"/>
            <w:shd w:val="clear" w:color="auto" w:fill="auto"/>
          </w:tcPr>
          <w:p w14:paraId="2DB8329F" w14:textId="77777777" w:rsidR="00EF3570" w:rsidRPr="002F1FE0" w:rsidRDefault="00000000">
            <w:pPr>
              <w:pStyle w:val="P68B1DB1-Normale3"/>
              <w:spacing w:line="240" w:lineRule="auto"/>
              <w:rPr>
                <w:lang w:val="en-GB"/>
              </w:rPr>
            </w:pPr>
            <w:r w:rsidRPr="002F1FE0">
              <w:rPr>
                <w:lang w:val="en-GB"/>
              </w:rPr>
              <w:t>0.4</w:t>
            </w:r>
          </w:p>
        </w:tc>
      </w:tr>
      <w:tr w:rsidR="00EF3570" w:rsidRPr="002F1FE0" w14:paraId="0C61B2FA" w14:textId="77777777">
        <w:trPr>
          <w:trHeight w:val="16"/>
        </w:trPr>
        <w:tc>
          <w:tcPr>
            <w:tcW w:w="6222" w:type="dxa"/>
            <w:shd w:val="clear" w:color="auto" w:fill="auto"/>
          </w:tcPr>
          <w:p w14:paraId="1718DE5D" w14:textId="77777777" w:rsidR="00EF3570" w:rsidRPr="002F1FE0" w:rsidRDefault="00000000">
            <w:pPr>
              <w:pStyle w:val="P68B1DB1-Normale4"/>
              <w:spacing w:line="240" w:lineRule="auto"/>
              <w:rPr>
                <w:lang w:val="en-GB"/>
              </w:rPr>
            </w:pPr>
            <w:r w:rsidRPr="002F1FE0">
              <w:rPr>
                <w:lang w:val="en-GB"/>
              </w:rPr>
              <w:t>Undesirable and desired effects</w:t>
            </w:r>
          </w:p>
        </w:tc>
        <w:tc>
          <w:tcPr>
            <w:tcW w:w="483" w:type="dxa"/>
            <w:shd w:val="clear" w:color="auto" w:fill="auto"/>
          </w:tcPr>
          <w:p w14:paraId="301763F0" w14:textId="77777777" w:rsidR="00EF3570" w:rsidRPr="002F1FE0" w:rsidRDefault="00EF3570">
            <w:pPr>
              <w:spacing w:line="240" w:lineRule="auto"/>
              <w:rPr>
                <w:rFonts w:ascii="Times New Roman" w:hAnsi="Times New Roman"/>
                <w:b/>
                <w:lang w:val="en-GB"/>
              </w:rPr>
            </w:pPr>
          </w:p>
        </w:tc>
      </w:tr>
      <w:tr w:rsidR="00EF3570" w:rsidRPr="002F1FE0" w14:paraId="6649D6C6" w14:textId="77777777">
        <w:trPr>
          <w:trHeight w:val="16"/>
        </w:trPr>
        <w:tc>
          <w:tcPr>
            <w:tcW w:w="6222" w:type="dxa"/>
            <w:shd w:val="clear" w:color="auto" w:fill="auto"/>
          </w:tcPr>
          <w:p w14:paraId="1B1BCA8F" w14:textId="77777777" w:rsidR="00EF3570" w:rsidRPr="002F1FE0" w:rsidRDefault="00000000">
            <w:pPr>
              <w:pStyle w:val="P68B1DB1-Normale3"/>
              <w:spacing w:line="240" w:lineRule="auto"/>
              <w:rPr>
                <w:lang w:val="en-GB"/>
              </w:rPr>
            </w:pPr>
            <w:r w:rsidRPr="002F1FE0">
              <w:rPr>
                <w:lang w:val="en-GB"/>
              </w:rPr>
              <w:t>General elements of systemic and functional population ecology.</w:t>
            </w:r>
          </w:p>
          <w:p w14:paraId="14368A19" w14:textId="77777777" w:rsidR="00EF3570" w:rsidRPr="002F1FE0" w:rsidRDefault="00000000">
            <w:pPr>
              <w:pStyle w:val="P68B1DB1-Normale3"/>
              <w:spacing w:line="240" w:lineRule="auto"/>
              <w:rPr>
                <w:lang w:val="en-GB"/>
              </w:rPr>
            </w:pPr>
            <w:r w:rsidRPr="002F1FE0">
              <w:rPr>
                <w:lang w:val="en-GB"/>
              </w:rPr>
              <w:t>The study of effects. Mode of action of toxic potentials. Main forms of exposure of living organisms. Mechanisms of action of certain environmental toxicants.</w:t>
            </w:r>
          </w:p>
          <w:p w14:paraId="0B5C92C3" w14:textId="77777777" w:rsidR="00EF3570" w:rsidRPr="002F1FE0" w:rsidRDefault="00000000">
            <w:pPr>
              <w:pStyle w:val="P68B1DB1-Normale3"/>
              <w:spacing w:line="240" w:lineRule="auto"/>
              <w:rPr>
                <w:lang w:val="en-GB"/>
              </w:rPr>
            </w:pPr>
            <w:r w:rsidRPr="002F1FE0">
              <w:rPr>
                <w:lang w:val="en-GB"/>
              </w:rPr>
              <w:t>Damage measurement using ecotoxicological tests (DL50, LC50, EC50, LT50, NOEL, LOEL).</w:t>
            </w:r>
          </w:p>
        </w:tc>
        <w:tc>
          <w:tcPr>
            <w:tcW w:w="483" w:type="dxa"/>
            <w:shd w:val="clear" w:color="auto" w:fill="auto"/>
          </w:tcPr>
          <w:p w14:paraId="797706B9" w14:textId="77777777" w:rsidR="00EF3570" w:rsidRPr="002F1FE0" w:rsidRDefault="00000000">
            <w:pPr>
              <w:pStyle w:val="P68B1DB1-Normale3"/>
              <w:spacing w:line="240" w:lineRule="auto"/>
              <w:rPr>
                <w:lang w:val="en-GB"/>
              </w:rPr>
            </w:pPr>
            <w:r w:rsidRPr="002F1FE0">
              <w:rPr>
                <w:lang w:val="en-GB"/>
              </w:rPr>
              <w:t>1.0</w:t>
            </w:r>
          </w:p>
        </w:tc>
      </w:tr>
      <w:tr w:rsidR="00EF3570" w:rsidRPr="002F1FE0" w14:paraId="040B11A2" w14:textId="77777777">
        <w:trPr>
          <w:trHeight w:val="16"/>
        </w:trPr>
        <w:tc>
          <w:tcPr>
            <w:tcW w:w="6222" w:type="dxa"/>
            <w:shd w:val="clear" w:color="auto" w:fill="auto"/>
          </w:tcPr>
          <w:p w14:paraId="39C1559A" w14:textId="77777777" w:rsidR="00EF3570" w:rsidRPr="002F1FE0" w:rsidRDefault="00000000">
            <w:pPr>
              <w:pStyle w:val="P68B1DB1-Normale3"/>
              <w:spacing w:line="240" w:lineRule="auto"/>
              <w:rPr>
                <w:lang w:val="en-GB"/>
              </w:rPr>
            </w:pPr>
            <w:r w:rsidRPr="002F1FE0">
              <w:rPr>
                <w:lang w:val="en-GB"/>
              </w:rPr>
              <w:t xml:space="preserve">Measuring damage. Forecasting exposure and the effects. Chemical-physical properties of toxic potentials. The environmental partition coefficients. Evaluation models. Fugacity. The prediction of effects through QSAR. </w:t>
            </w:r>
            <w:proofErr w:type="spellStart"/>
            <w:r w:rsidRPr="002F1FE0">
              <w:rPr>
                <w:lang w:val="en-GB"/>
              </w:rPr>
              <w:t>Hansch's</w:t>
            </w:r>
            <w:proofErr w:type="spellEnd"/>
            <w:r w:rsidRPr="002F1FE0">
              <w:rPr>
                <w:lang w:val="en-GB"/>
              </w:rPr>
              <w:t xml:space="preserve"> theory.</w:t>
            </w:r>
          </w:p>
          <w:p w14:paraId="48FDCF75" w14:textId="77777777" w:rsidR="00EF3570" w:rsidRPr="002F1FE0" w:rsidRDefault="00000000">
            <w:pPr>
              <w:pStyle w:val="P68B1DB1-Normale3"/>
              <w:spacing w:line="240" w:lineRule="auto"/>
              <w:rPr>
                <w:lang w:val="en-GB"/>
              </w:rPr>
            </w:pPr>
            <w:r w:rsidRPr="002F1FE0">
              <w:rPr>
                <w:lang w:val="en-GB"/>
              </w:rPr>
              <w:t>Risk calculation. The integrated approach to risk estimation. Development of risk indices for environmental impact assessments. Data required for authorisation and sustainable use at an Italian and European level.</w:t>
            </w:r>
          </w:p>
        </w:tc>
        <w:tc>
          <w:tcPr>
            <w:tcW w:w="483" w:type="dxa"/>
            <w:shd w:val="clear" w:color="auto" w:fill="auto"/>
          </w:tcPr>
          <w:p w14:paraId="4C0CA587" w14:textId="77777777" w:rsidR="00EF3570" w:rsidRPr="002F1FE0" w:rsidRDefault="00000000">
            <w:pPr>
              <w:pStyle w:val="P68B1DB1-Normale3"/>
              <w:spacing w:line="240" w:lineRule="auto"/>
              <w:rPr>
                <w:lang w:val="en-GB"/>
              </w:rPr>
            </w:pPr>
            <w:r w:rsidRPr="002F1FE0">
              <w:rPr>
                <w:lang w:val="en-GB"/>
              </w:rPr>
              <w:t>1.0</w:t>
            </w:r>
          </w:p>
          <w:p w14:paraId="1C3706B5" w14:textId="77777777" w:rsidR="00EF3570" w:rsidRPr="002F1FE0" w:rsidRDefault="00EF3570">
            <w:pPr>
              <w:spacing w:line="240" w:lineRule="auto"/>
              <w:rPr>
                <w:rFonts w:ascii="Times New Roman" w:hAnsi="Times New Roman"/>
                <w:lang w:val="en-GB"/>
              </w:rPr>
            </w:pPr>
          </w:p>
          <w:p w14:paraId="06091F5B" w14:textId="77777777" w:rsidR="00EF3570" w:rsidRPr="002F1FE0" w:rsidRDefault="00EF3570">
            <w:pPr>
              <w:spacing w:line="240" w:lineRule="auto"/>
              <w:rPr>
                <w:rFonts w:ascii="Times New Roman" w:hAnsi="Times New Roman"/>
                <w:lang w:val="en-GB"/>
              </w:rPr>
            </w:pPr>
          </w:p>
          <w:p w14:paraId="2704921E" w14:textId="77777777" w:rsidR="00EF3570" w:rsidRPr="002F1FE0" w:rsidRDefault="00EF3570">
            <w:pPr>
              <w:spacing w:line="240" w:lineRule="auto"/>
              <w:rPr>
                <w:rFonts w:ascii="Times New Roman" w:hAnsi="Times New Roman"/>
                <w:lang w:val="en-GB"/>
              </w:rPr>
            </w:pPr>
          </w:p>
          <w:p w14:paraId="75665B3E" w14:textId="77777777" w:rsidR="00EF3570" w:rsidRPr="002F1FE0" w:rsidRDefault="00EF3570">
            <w:pPr>
              <w:spacing w:line="240" w:lineRule="auto"/>
              <w:rPr>
                <w:rFonts w:ascii="Times New Roman" w:hAnsi="Times New Roman"/>
                <w:lang w:val="en-GB"/>
              </w:rPr>
            </w:pPr>
          </w:p>
          <w:p w14:paraId="72C74B43" w14:textId="77777777" w:rsidR="00EF3570" w:rsidRPr="002F1FE0" w:rsidRDefault="00EF3570">
            <w:pPr>
              <w:spacing w:line="240" w:lineRule="auto"/>
              <w:rPr>
                <w:rFonts w:ascii="Times New Roman" w:hAnsi="Times New Roman"/>
                <w:lang w:val="en-GB"/>
              </w:rPr>
            </w:pPr>
          </w:p>
          <w:p w14:paraId="629F3F5A" w14:textId="77777777" w:rsidR="00EF3570" w:rsidRPr="002F1FE0" w:rsidRDefault="00EF3570">
            <w:pPr>
              <w:spacing w:line="240" w:lineRule="auto"/>
              <w:rPr>
                <w:rFonts w:ascii="Times New Roman" w:hAnsi="Times New Roman"/>
                <w:lang w:val="en-GB"/>
              </w:rPr>
            </w:pPr>
          </w:p>
          <w:p w14:paraId="124E3CD6" w14:textId="77777777" w:rsidR="00EF3570" w:rsidRPr="002F1FE0" w:rsidRDefault="00EF3570">
            <w:pPr>
              <w:spacing w:line="240" w:lineRule="auto"/>
              <w:rPr>
                <w:rFonts w:ascii="Times New Roman" w:hAnsi="Times New Roman"/>
                <w:lang w:val="en-GB"/>
              </w:rPr>
            </w:pPr>
          </w:p>
          <w:p w14:paraId="5E8088C0" w14:textId="77777777" w:rsidR="00EF3570" w:rsidRPr="002F1FE0" w:rsidRDefault="00000000">
            <w:pPr>
              <w:pStyle w:val="P68B1DB1-Normale3"/>
              <w:spacing w:line="240" w:lineRule="auto"/>
              <w:rPr>
                <w:lang w:val="en-GB"/>
              </w:rPr>
            </w:pPr>
            <w:r w:rsidRPr="002F1FE0">
              <w:rPr>
                <w:lang w:val="en-GB"/>
              </w:rPr>
              <w:t>1.0</w:t>
            </w:r>
          </w:p>
        </w:tc>
      </w:tr>
      <w:tr w:rsidR="00EF3570" w:rsidRPr="002F1FE0" w14:paraId="01C2EA0A" w14:textId="77777777">
        <w:trPr>
          <w:trHeight w:val="16"/>
        </w:trPr>
        <w:tc>
          <w:tcPr>
            <w:tcW w:w="6222" w:type="dxa"/>
            <w:shd w:val="clear" w:color="auto" w:fill="auto"/>
          </w:tcPr>
          <w:p w14:paraId="37B02C33" w14:textId="77777777" w:rsidR="00EF3570" w:rsidRPr="002F1FE0" w:rsidRDefault="00000000">
            <w:pPr>
              <w:pStyle w:val="P68B1DB1-Normale4"/>
              <w:spacing w:line="240" w:lineRule="auto"/>
              <w:rPr>
                <w:lang w:val="en-GB"/>
              </w:rPr>
            </w:pPr>
            <w:r w:rsidRPr="002F1FE0">
              <w:rPr>
                <w:lang w:val="en-GB"/>
              </w:rPr>
              <w:t>Classroom seminars with experts on:</w:t>
            </w:r>
          </w:p>
          <w:p w14:paraId="7C9C6AC7" w14:textId="77777777" w:rsidR="00EF3570" w:rsidRPr="002F1FE0" w:rsidRDefault="00000000">
            <w:pPr>
              <w:pStyle w:val="P68B1DB1-Paragrafoelenco5"/>
              <w:numPr>
                <w:ilvl w:val="0"/>
                <w:numId w:val="4"/>
              </w:numPr>
              <w:tabs>
                <w:tab w:val="clear" w:pos="284"/>
                <w:tab w:val="left" w:pos="198"/>
              </w:tabs>
              <w:spacing w:line="240" w:lineRule="auto"/>
              <w:ind w:left="0" w:hanging="198"/>
              <w:rPr>
                <w:lang w:val="en-GB"/>
              </w:rPr>
            </w:pPr>
            <w:r w:rsidRPr="002F1FE0">
              <w:rPr>
                <w:lang w:val="en-GB"/>
              </w:rPr>
              <w:t>Use of QSAR and TDK models for effect prediction: organic and inorganic contaminants.</w:t>
            </w:r>
          </w:p>
          <w:p w14:paraId="17B954B9" w14:textId="77777777" w:rsidR="00EF3570" w:rsidRPr="002F1FE0" w:rsidRDefault="00000000">
            <w:pPr>
              <w:pStyle w:val="P68B1DB1-Paragrafoelenco5"/>
              <w:numPr>
                <w:ilvl w:val="0"/>
                <w:numId w:val="4"/>
              </w:numPr>
              <w:tabs>
                <w:tab w:val="clear" w:pos="284"/>
                <w:tab w:val="left" w:pos="198"/>
              </w:tabs>
              <w:spacing w:line="240" w:lineRule="auto"/>
              <w:ind w:left="0" w:hanging="198"/>
              <w:rPr>
                <w:lang w:val="en-GB"/>
              </w:rPr>
            </w:pPr>
            <w:r w:rsidRPr="002F1FE0">
              <w:rPr>
                <w:lang w:val="en-GB"/>
              </w:rPr>
              <w:t>Use of EFSA databases and models for calculating pesticide-related food risk (PRIMO model).</w:t>
            </w:r>
          </w:p>
          <w:p w14:paraId="3BF3FD92" w14:textId="5E719748" w:rsidR="00EF3570" w:rsidRPr="002F1FE0" w:rsidRDefault="00000000">
            <w:pPr>
              <w:pStyle w:val="P68B1DB1-Normale4"/>
              <w:spacing w:line="240" w:lineRule="auto"/>
              <w:rPr>
                <w:lang w:val="en-GB"/>
              </w:rPr>
            </w:pPr>
            <w:r w:rsidRPr="002F1FE0">
              <w:rPr>
                <w:lang w:val="en-GB"/>
              </w:rPr>
              <w:t xml:space="preserve">Tutorials </w:t>
            </w:r>
          </w:p>
          <w:p w14:paraId="1A53A501" w14:textId="77777777" w:rsidR="00EF3570" w:rsidRPr="002F1FE0" w:rsidRDefault="00000000">
            <w:pPr>
              <w:pStyle w:val="P68B1DB1-Normale3"/>
              <w:spacing w:line="240" w:lineRule="auto"/>
              <w:rPr>
                <w:lang w:val="en-GB"/>
              </w:rPr>
            </w:pPr>
            <w:r w:rsidRPr="002F1FE0">
              <w:rPr>
                <w:lang w:val="en-GB"/>
              </w:rPr>
              <w:t xml:space="preserve">Use of the QSAR and FOCUS mathematical models for assessing exposure and the effects. Use of partition coefficients, stochastic analysis, and kinetic toxic analysis of effects. Real case study scenarios for an inorganic and an organic agro-pharmaceutical. Application of sustainable usage guidelines in agricultural scenarios. </w:t>
            </w:r>
          </w:p>
          <w:p w14:paraId="15EDDE79" w14:textId="77777777" w:rsidR="00EF3570" w:rsidRPr="002F1FE0" w:rsidRDefault="00000000">
            <w:pPr>
              <w:pStyle w:val="P68B1DB1-Normale3"/>
              <w:spacing w:line="240" w:lineRule="auto"/>
              <w:rPr>
                <w:lang w:val="en-GB"/>
              </w:rPr>
            </w:pPr>
            <w:r w:rsidRPr="002F1FE0">
              <w:rPr>
                <w:lang w:val="en-GB"/>
              </w:rPr>
              <w:t xml:space="preserve">An </w:t>
            </w:r>
            <w:r w:rsidRPr="002F1FE0">
              <w:rPr>
                <w:b/>
                <w:lang w:val="en-GB"/>
              </w:rPr>
              <w:t>educational outing</w:t>
            </w:r>
            <w:r w:rsidRPr="002F1FE0">
              <w:rPr>
                <w:lang w:val="en-GB"/>
              </w:rPr>
              <w:t xml:space="preserve"> to a farm, including a demonstration test of usage, the application of good practices, the measurement of dosages, and risk mitigation. </w:t>
            </w:r>
          </w:p>
        </w:tc>
        <w:tc>
          <w:tcPr>
            <w:tcW w:w="483" w:type="dxa"/>
            <w:shd w:val="clear" w:color="auto" w:fill="auto"/>
          </w:tcPr>
          <w:p w14:paraId="617C89E4" w14:textId="77777777" w:rsidR="00EF3570" w:rsidRPr="002F1FE0" w:rsidRDefault="00000000">
            <w:pPr>
              <w:pStyle w:val="P68B1DB1-Normale3"/>
              <w:spacing w:line="240" w:lineRule="auto"/>
              <w:rPr>
                <w:lang w:val="en-GB"/>
              </w:rPr>
            </w:pPr>
            <w:r w:rsidRPr="002F1FE0">
              <w:rPr>
                <w:lang w:val="en-GB"/>
              </w:rPr>
              <w:t>2.0</w:t>
            </w:r>
          </w:p>
        </w:tc>
      </w:tr>
      <w:tr w:rsidR="00EF3570" w:rsidRPr="002F1FE0" w14:paraId="59413289" w14:textId="77777777">
        <w:trPr>
          <w:trHeight w:val="16"/>
        </w:trPr>
        <w:tc>
          <w:tcPr>
            <w:tcW w:w="6222" w:type="dxa"/>
            <w:shd w:val="clear" w:color="auto" w:fill="auto"/>
          </w:tcPr>
          <w:p w14:paraId="2D993EED" w14:textId="77777777" w:rsidR="00EF3570" w:rsidRPr="002F1FE0" w:rsidRDefault="00000000">
            <w:pPr>
              <w:pStyle w:val="P68B1DB1-Normale4"/>
              <w:spacing w:line="240" w:lineRule="auto"/>
              <w:ind w:left="28"/>
              <w:rPr>
                <w:lang w:val="en-GB"/>
              </w:rPr>
            </w:pPr>
            <w:r w:rsidRPr="002F1FE0">
              <w:rPr>
                <w:lang w:val="en-GB"/>
              </w:rPr>
              <w:t>Where to find the information</w:t>
            </w:r>
          </w:p>
        </w:tc>
        <w:tc>
          <w:tcPr>
            <w:tcW w:w="483" w:type="dxa"/>
            <w:shd w:val="clear" w:color="auto" w:fill="auto"/>
          </w:tcPr>
          <w:p w14:paraId="6B0FD3E7" w14:textId="77777777" w:rsidR="00EF3570" w:rsidRPr="002F1FE0" w:rsidRDefault="00EF3570">
            <w:pPr>
              <w:spacing w:line="240" w:lineRule="auto"/>
              <w:rPr>
                <w:rFonts w:ascii="Times New Roman" w:hAnsi="Times New Roman"/>
                <w:lang w:val="en-GB"/>
              </w:rPr>
            </w:pPr>
          </w:p>
        </w:tc>
      </w:tr>
      <w:tr w:rsidR="00EF3570" w:rsidRPr="002F1FE0" w14:paraId="3B5984D0" w14:textId="77777777">
        <w:trPr>
          <w:trHeight w:val="16"/>
        </w:trPr>
        <w:tc>
          <w:tcPr>
            <w:tcW w:w="6222" w:type="dxa"/>
            <w:shd w:val="clear" w:color="auto" w:fill="auto"/>
          </w:tcPr>
          <w:p w14:paraId="353CA815" w14:textId="77777777" w:rsidR="00EF3570" w:rsidRPr="002F1FE0" w:rsidRDefault="00000000">
            <w:pPr>
              <w:pStyle w:val="P68B1DB1-Normale3"/>
              <w:spacing w:line="240" w:lineRule="auto"/>
              <w:ind w:left="28"/>
              <w:rPr>
                <w:lang w:val="en-GB"/>
              </w:rPr>
            </w:pPr>
            <w:r w:rsidRPr="002F1FE0">
              <w:rPr>
                <w:lang w:val="en-GB"/>
              </w:rPr>
              <w:t>Bibliographic documentation on agro drugs, including: chemical-physical characteristics, toxicology, formulation, doses, methods of use, and residues in agricultural production and food.</w:t>
            </w:r>
          </w:p>
        </w:tc>
        <w:tc>
          <w:tcPr>
            <w:tcW w:w="483" w:type="dxa"/>
            <w:shd w:val="clear" w:color="auto" w:fill="auto"/>
          </w:tcPr>
          <w:p w14:paraId="73090032" w14:textId="77777777" w:rsidR="00EF3570" w:rsidRPr="002F1FE0" w:rsidRDefault="00000000">
            <w:pPr>
              <w:pStyle w:val="P68B1DB1-Normale3"/>
              <w:spacing w:line="240" w:lineRule="auto"/>
              <w:rPr>
                <w:lang w:val="en-GB"/>
              </w:rPr>
            </w:pPr>
            <w:r w:rsidRPr="002F1FE0">
              <w:rPr>
                <w:lang w:val="en-GB"/>
              </w:rPr>
              <w:t>0.2</w:t>
            </w:r>
          </w:p>
        </w:tc>
      </w:tr>
      <w:tr w:rsidR="00EF3570" w:rsidRPr="002F1FE0" w14:paraId="03097EC5" w14:textId="77777777">
        <w:trPr>
          <w:trHeight w:val="16"/>
        </w:trPr>
        <w:tc>
          <w:tcPr>
            <w:tcW w:w="6222" w:type="dxa"/>
            <w:shd w:val="clear" w:color="auto" w:fill="auto"/>
          </w:tcPr>
          <w:p w14:paraId="7448E2C5" w14:textId="77777777" w:rsidR="00EF3570" w:rsidRPr="002F1FE0" w:rsidRDefault="00000000">
            <w:pPr>
              <w:pStyle w:val="P68B1DB1-Normale3"/>
              <w:spacing w:line="240" w:lineRule="auto"/>
              <w:ind w:left="28"/>
              <w:rPr>
                <w:lang w:val="en-GB"/>
              </w:rPr>
            </w:pPr>
            <w:r w:rsidRPr="002F1FE0">
              <w:rPr>
                <w:lang w:val="en-GB"/>
              </w:rPr>
              <w:t>General considerations, selectivity, classification, chemical-physical characteristics, usage, mode of action, mechanism of action, toxicology, phenomena of induced resistance, degradation, environmental impact, etc.</w:t>
            </w:r>
          </w:p>
        </w:tc>
        <w:tc>
          <w:tcPr>
            <w:tcW w:w="483" w:type="dxa"/>
            <w:shd w:val="clear" w:color="auto" w:fill="auto"/>
          </w:tcPr>
          <w:p w14:paraId="2B309D26" w14:textId="77777777" w:rsidR="00EF3570" w:rsidRPr="002F1FE0" w:rsidRDefault="00000000">
            <w:pPr>
              <w:pStyle w:val="P68B1DB1-Normale3"/>
              <w:spacing w:line="240" w:lineRule="auto"/>
              <w:rPr>
                <w:lang w:val="en-GB"/>
              </w:rPr>
            </w:pPr>
            <w:r w:rsidRPr="002F1FE0">
              <w:rPr>
                <w:lang w:val="en-GB"/>
              </w:rPr>
              <w:t>1.8</w:t>
            </w:r>
          </w:p>
        </w:tc>
      </w:tr>
    </w:tbl>
    <w:p w14:paraId="1E50F561" w14:textId="77777777" w:rsidR="00EF3570" w:rsidRPr="002F1FE0" w:rsidRDefault="00EF3570">
      <w:pPr>
        <w:keepNext/>
        <w:spacing w:after="120" w:line="240" w:lineRule="auto"/>
        <w:rPr>
          <w:rFonts w:ascii="Times New Roman" w:hAnsi="Times New Roman"/>
          <w:b/>
          <w:i/>
          <w:lang w:val="en-GB"/>
        </w:rPr>
      </w:pPr>
    </w:p>
    <w:p w14:paraId="22E24B5B" w14:textId="77777777" w:rsidR="00EF3570" w:rsidRPr="002F1FE0" w:rsidRDefault="00000000">
      <w:pPr>
        <w:pStyle w:val="P68B1DB1-Normale2"/>
        <w:keepNext/>
        <w:spacing w:after="120" w:line="240" w:lineRule="auto"/>
        <w:rPr>
          <w:lang w:val="en-GB"/>
        </w:rPr>
      </w:pPr>
      <w:r w:rsidRPr="002F1FE0">
        <w:rPr>
          <w:lang w:val="en-GB"/>
        </w:rPr>
        <w:t>READING LIST</w:t>
      </w:r>
    </w:p>
    <w:p w14:paraId="5E71A69E" w14:textId="08768BA9" w:rsidR="00EF3570" w:rsidRPr="002F1FE0" w:rsidRDefault="00000000">
      <w:pPr>
        <w:pStyle w:val="P68B1DB1-Normale3"/>
        <w:spacing w:after="120" w:line="240" w:lineRule="auto"/>
        <w:rPr>
          <w:lang w:val="en-GB"/>
        </w:rPr>
      </w:pPr>
      <w:r w:rsidRPr="002F1FE0">
        <w:rPr>
          <w:lang w:val="en-GB"/>
        </w:rPr>
        <w:t xml:space="preserve">Texts </w:t>
      </w:r>
    </w:p>
    <w:p w14:paraId="4911DCF4" w14:textId="77777777" w:rsidR="00EF3570" w:rsidRPr="009A02B4" w:rsidRDefault="00000000">
      <w:pPr>
        <w:pStyle w:val="P68B1DB1-Normale3"/>
        <w:numPr>
          <w:ilvl w:val="0"/>
          <w:numId w:val="1"/>
        </w:numPr>
        <w:spacing w:after="120" w:line="240" w:lineRule="auto"/>
        <w:rPr>
          <w:smallCaps/>
          <w:lang w:val="it-IT"/>
        </w:rPr>
      </w:pPr>
      <w:r w:rsidRPr="009A02B4">
        <w:rPr>
          <w:smallCaps/>
          <w:lang w:val="it-IT"/>
        </w:rPr>
        <w:t xml:space="preserve">M. Gennari, M. Trevisan – </w:t>
      </w:r>
      <w:r w:rsidRPr="009A02B4">
        <w:rPr>
          <w:i/>
          <w:lang w:val="it-IT"/>
        </w:rPr>
        <w:t>Agrofarmaci</w:t>
      </w:r>
      <w:r w:rsidRPr="009A02B4">
        <w:rPr>
          <w:smallCaps/>
          <w:lang w:val="it-IT"/>
        </w:rPr>
        <w:t xml:space="preserve"> – </w:t>
      </w:r>
      <w:r w:rsidRPr="009A02B4">
        <w:rPr>
          <w:i/>
          <w:lang w:val="it-IT"/>
        </w:rPr>
        <w:t>Conoscenze per un uso sostenibile</w:t>
      </w:r>
      <w:r w:rsidRPr="009A02B4">
        <w:rPr>
          <w:smallCaps/>
          <w:lang w:val="it-IT"/>
        </w:rPr>
        <w:t xml:space="preserve"> – </w:t>
      </w:r>
      <w:r w:rsidRPr="009A02B4">
        <w:rPr>
          <w:lang w:val="it-IT"/>
        </w:rPr>
        <w:t xml:space="preserve">Gruppo </w:t>
      </w:r>
      <w:proofErr w:type="spellStart"/>
      <w:r w:rsidRPr="009A02B4">
        <w:rPr>
          <w:lang w:val="it-IT"/>
        </w:rPr>
        <w:t>Perdisa</w:t>
      </w:r>
      <w:proofErr w:type="spellEnd"/>
      <w:r w:rsidRPr="009A02B4">
        <w:rPr>
          <w:lang w:val="it-IT"/>
        </w:rPr>
        <w:t xml:space="preserve"> Editore, Bologna, 2008.</w:t>
      </w:r>
    </w:p>
    <w:p w14:paraId="4D566983" w14:textId="77777777" w:rsidR="00EF3570" w:rsidRPr="002F1FE0" w:rsidRDefault="00000000">
      <w:pPr>
        <w:pStyle w:val="P68B1DB1-Normale3"/>
        <w:numPr>
          <w:ilvl w:val="0"/>
          <w:numId w:val="1"/>
        </w:numPr>
        <w:spacing w:after="120" w:line="240" w:lineRule="auto"/>
        <w:rPr>
          <w:smallCaps/>
          <w:lang w:val="en-GB"/>
        </w:rPr>
      </w:pPr>
      <w:r w:rsidRPr="009A02B4">
        <w:rPr>
          <w:smallCaps/>
          <w:lang w:val="it-IT"/>
        </w:rPr>
        <w:t xml:space="preserve">P. VIOLANTE </w:t>
      </w:r>
      <w:r w:rsidRPr="009A02B4">
        <w:rPr>
          <w:i/>
          <w:lang w:val="it-IT"/>
        </w:rPr>
        <w:t>Chimica e fertilità del suolo</w:t>
      </w:r>
      <w:r w:rsidRPr="009A02B4">
        <w:rPr>
          <w:smallCaps/>
          <w:lang w:val="it-IT"/>
        </w:rPr>
        <w:t xml:space="preserve">.  </w:t>
      </w:r>
      <w:proofErr w:type="spellStart"/>
      <w:r w:rsidRPr="002F1FE0">
        <w:rPr>
          <w:lang w:val="en-GB"/>
        </w:rPr>
        <w:t>Edagricole</w:t>
      </w:r>
      <w:proofErr w:type="spellEnd"/>
      <w:r w:rsidRPr="002F1FE0">
        <w:rPr>
          <w:lang w:val="en-GB"/>
        </w:rPr>
        <w:t xml:space="preserve">. </w:t>
      </w:r>
    </w:p>
    <w:p w14:paraId="071A9D83" w14:textId="77777777" w:rsidR="00EF3570" w:rsidRPr="002F1FE0" w:rsidRDefault="00EF3570">
      <w:pPr>
        <w:spacing w:after="120" w:line="240" w:lineRule="auto"/>
        <w:rPr>
          <w:rFonts w:ascii="Times New Roman" w:hAnsi="Times New Roman"/>
          <w:b/>
          <w:i/>
          <w:lang w:val="en-GB"/>
        </w:rPr>
      </w:pPr>
    </w:p>
    <w:p w14:paraId="231952AE" w14:textId="77777777" w:rsidR="00EF3570" w:rsidRPr="002F1FE0" w:rsidRDefault="00000000">
      <w:pPr>
        <w:pStyle w:val="P68B1DB1-Normale2"/>
        <w:spacing w:after="120" w:line="240" w:lineRule="auto"/>
        <w:rPr>
          <w:lang w:val="en-GB"/>
        </w:rPr>
      </w:pPr>
      <w:r w:rsidRPr="002F1FE0">
        <w:rPr>
          <w:lang w:val="en-GB"/>
        </w:rPr>
        <w:t>TEACHING METHOD</w:t>
      </w:r>
    </w:p>
    <w:p w14:paraId="1D859782" w14:textId="77777777" w:rsidR="00EF3570" w:rsidRPr="002F1FE0" w:rsidRDefault="00000000">
      <w:pPr>
        <w:pStyle w:val="P68B1DB1-Testo26"/>
        <w:spacing w:after="120" w:line="240" w:lineRule="auto"/>
        <w:ind w:firstLine="0"/>
        <w:rPr>
          <w:lang w:val="en-GB"/>
        </w:rPr>
      </w:pPr>
      <w:r w:rsidRPr="002F1FE0">
        <w:rPr>
          <w:lang w:val="en-GB"/>
        </w:rPr>
        <w:t xml:space="preserve">Frontal theoretical lectures during which the general topics of the course will be addressed. </w:t>
      </w:r>
    </w:p>
    <w:p w14:paraId="291215D8" w14:textId="77777777" w:rsidR="00EF3570" w:rsidRPr="002F1FE0" w:rsidRDefault="00000000">
      <w:pPr>
        <w:pStyle w:val="P68B1DB1-Testo26"/>
        <w:spacing w:after="120" w:line="240" w:lineRule="auto"/>
        <w:ind w:firstLine="0"/>
        <w:rPr>
          <w:lang w:val="en-GB"/>
        </w:rPr>
      </w:pPr>
      <w:r w:rsidRPr="002F1FE0">
        <w:rPr>
          <w:lang w:val="en-GB"/>
        </w:rPr>
        <w:t>Computer tutorials where calculation tools will be used and exercises conducted.</w:t>
      </w:r>
    </w:p>
    <w:p w14:paraId="35DCBB1D" w14:textId="77777777" w:rsidR="00EF3570" w:rsidRPr="002F1FE0" w:rsidRDefault="00000000">
      <w:pPr>
        <w:pStyle w:val="P68B1DB1-Testo26"/>
        <w:spacing w:after="120" w:line="240" w:lineRule="auto"/>
        <w:ind w:firstLine="0"/>
        <w:rPr>
          <w:lang w:val="en-GB"/>
        </w:rPr>
      </w:pPr>
      <w:r w:rsidRPr="002F1FE0">
        <w:rPr>
          <w:lang w:val="en-GB"/>
        </w:rPr>
        <w:t xml:space="preserve">Classroom seminars with experts. </w:t>
      </w:r>
    </w:p>
    <w:p w14:paraId="7003117D" w14:textId="77777777" w:rsidR="00EF3570" w:rsidRPr="002F1FE0" w:rsidRDefault="00000000">
      <w:pPr>
        <w:pStyle w:val="P68B1DB1-Testo26"/>
        <w:spacing w:after="120" w:line="240" w:lineRule="auto"/>
        <w:ind w:firstLine="0"/>
        <w:rPr>
          <w:lang w:val="en-GB"/>
        </w:rPr>
      </w:pPr>
      <w:r w:rsidRPr="002F1FE0">
        <w:rPr>
          <w:lang w:val="en-GB"/>
        </w:rPr>
        <w:t>Educational outings to agricultural companies during the preparation of mixtures and applications in the field.</w:t>
      </w:r>
    </w:p>
    <w:p w14:paraId="40C2CCF7" w14:textId="77777777" w:rsidR="00EF3570" w:rsidRPr="002F1FE0" w:rsidRDefault="00000000">
      <w:pPr>
        <w:pStyle w:val="P68B1DB1-Testo26"/>
        <w:spacing w:after="120" w:line="240" w:lineRule="auto"/>
        <w:ind w:firstLine="0"/>
        <w:rPr>
          <w:lang w:val="en-GB"/>
        </w:rPr>
      </w:pPr>
      <w:r w:rsidRPr="002F1FE0">
        <w:rPr>
          <w:lang w:val="en-GB"/>
        </w:rPr>
        <w:t>All the material presented during lectures will be available to students and on Blackboard.</w:t>
      </w:r>
    </w:p>
    <w:p w14:paraId="0C3DF095" w14:textId="77777777" w:rsidR="00EF3570" w:rsidRPr="002F1FE0" w:rsidRDefault="00EF3570">
      <w:pPr>
        <w:spacing w:after="120" w:line="240" w:lineRule="auto"/>
        <w:rPr>
          <w:rFonts w:ascii="Times New Roman" w:hAnsi="Times New Roman"/>
          <w:b/>
          <w:i/>
          <w:lang w:val="en-GB"/>
        </w:rPr>
      </w:pPr>
    </w:p>
    <w:p w14:paraId="3F43373B" w14:textId="77777777" w:rsidR="00EF3570" w:rsidRPr="002F1FE0" w:rsidRDefault="00000000">
      <w:pPr>
        <w:pStyle w:val="P68B1DB1-Normale2"/>
        <w:spacing w:after="120" w:line="240" w:lineRule="auto"/>
        <w:rPr>
          <w:lang w:val="en-GB"/>
        </w:rPr>
      </w:pPr>
      <w:r w:rsidRPr="002F1FE0">
        <w:rPr>
          <w:lang w:val="en-GB"/>
        </w:rPr>
        <w:t>ASSESSMENT METHOD AND CRITERIA</w:t>
      </w:r>
    </w:p>
    <w:p w14:paraId="10AAA7A1" w14:textId="77777777" w:rsidR="00EF3570" w:rsidRPr="002F1FE0" w:rsidRDefault="00000000">
      <w:pPr>
        <w:pStyle w:val="P68B1DB1-Default7"/>
        <w:spacing w:after="120"/>
        <w:jc w:val="both"/>
        <w:rPr>
          <w:lang w:val="en-GB"/>
        </w:rPr>
      </w:pPr>
      <w:r w:rsidRPr="002F1FE0">
        <w:rPr>
          <w:lang w:val="en-GB"/>
        </w:rPr>
        <w:t>The exam is both written (tutorial test results) and oral.</w:t>
      </w:r>
    </w:p>
    <w:p w14:paraId="7DED931E" w14:textId="30DD221D" w:rsidR="00EF3570" w:rsidRPr="002F1FE0" w:rsidRDefault="00000000">
      <w:pPr>
        <w:pStyle w:val="P68B1DB1-Default7"/>
        <w:spacing w:after="120"/>
        <w:jc w:val="both"/>
        <w:rPr>
          <w:lang w:val="en-GB"/>
        </w:rPr>
      </w:pPr>
      <w:r w:rsidRPr="002F1FE0">
        <w:rPr>
          <w:lang w:val="en-GB"/>
        </w:rPr>
        <w:t>The written test is aimed at ascertaining the student</w:t>
      </w:r>
      <w:r w:rsidR="00CC1C9D">
        <w:rPr>
          <w:lang w:val="en-GB"/>
        </w:rPr>
        <w:t>s’</w:t>
      </w:r>
      <w:r w:rsidRPr="002F1FE0">
        <w:rPr>
          <w:lang w:val="en-GB"/>
        </w:rPr>
        <w:t xml:space="preserve"> ability to calculate and their understanding of the logical procedures of data analysis. In other words, it is an assessment of the learning achieved through the execution of computer exercises. Students have at least 30 minutes per exercise for a maximum number of 3 exercises. The final assessment is a maximum of 3/30.</w:t>
      </w:r>
    </w:p>
    <w:p w14:paraId="1E31D89E" w14:textId="77777777" w:rsidR="00EF3570" w:rsidRPr="002F1FE0" w:rsidRDefault="00000000">
      <w:pPr>
        <w:pStyle w:val="P68B1DB1-Default7"/>
        <w:spacing w:after="120"/>
        <w:jc w:val="both"/>
        <w:rPr>
          <w:lang w:val="en-GB"/>
        </w:rPr>
      </w:pPr>
      <w:r w:rsidRPr="002F1FE0">
        <w:rPr>
          <w:lang w:val="en-GB"/>
        </w:rPr>
        <w:t xml:space="preserve">The oral exam envisages an audiovisual presentation involving the discussion of a risk assessment project on a contaminant in an agri-food production chain. </w:t>
      </w:r>
    </w:p>
    <w:p w14:paraId="794FDC78" w14:textId="77777777" w:rsidR="00EF3570" w:rsidRPr="002F1FE0" w:rsidRDefault="00000000">
      <w:pPr>
        <w:pStyle w:val="P68B1DB1-Default7"/>
        <w:spacing w:after="120"/>
        <w:jc w:val="both"/>
        <w:rPr>
          <w:lang w:val="en-GB"/>
        </w:rPr>
      </w:pPr>
      <w:r w:rsidRPr="002F1FE0">
        <w:rPr>
          <w:lang w:val="en-GB"/>
        </w:rPr>
        <w:t>For those students who have attended lectures and participated in all the course activities, the oral exam will focus solely on the content of the project and its discussion. For those students who have not attended the course and have not participated in the tutorials, the oral exam will focus on the full course contents, including the tutorials. The final assessment is a maximum of 27/30.</w:t>
      </w:r>
    </w:p>
    <w:p w14:paraId="07C9D4D8" w14:textId="77777777" w:rsidR="00EF3570" w:rsidRPr="002F1FE0" w:rsidRDefault="00000000">
      <w:pPr>
        <w:pStyle w:val="P68B1DB1-Default7"/>
        <w:spacing w:after="120"/>
        <w:jc w:val="both"/>
        <w:rPr>
          <w:lang w:val="en-GB"/>
        </w:rPr>
      </w:pPr>
      <w:r w:rsidRPr="002F1FE0">
        <w:rPr>
          <w:lang w:val="en-GB"/>
        </w:rPr>
        <w:t>Participation in educational outings and seminar activities is recommended and constitutes an objective element for achieving a distinction.</w:t>
      </w:r>
    </w:p>
    <w:p w14:paraId="64F70FA6" w14:textId="77777777" w:rsidR="00EF3570" w:rsidRPr="002F1FE0" w:rsidRDefault="00EF3570">
      <w:pPr>
        <w:spacing w:after="120" w:line="240" w:lineRule="auto"/>
        <w:rPr>
          <w:rFonts w:ascii="Times New Roman" w:hAnsi="Times New Roman"/>
          <w:b/>
          <w:i/>
          <w:lang w:val="en-GB"/>
        </w:rPr>
      </w:pPr>
    </w:p>
    <w:p w14:paraId="75204172" w14:textId="77777777" w:rsidR="00EF3570" w:rsidRPr="002F1FE0" w:rsidRDefault="00000000">
      <w:pPr>
        <w:pStyle w:val="P68B1DB1-Normale2"/>
        <w:spacing w:after="120" w:line="240" w:lineRule="auto"/>
        <w:rPr>
          <w:lang w:val="en-GB"/>
        </w:rPr>
      </w:pPr>
      <w:r w:rsidRPr="002F1FE0">
        <w:rPr>
          <w:lang w:val="en-GB"/>
        </w:rPr>
        <w:t>NOTES AND PREREQUISITES</w:t>
      </w:r>
    </w:p>
    <w:p w14:paraId="717BB310" w14:textId="77777777" w:rsidR="00EF3570" w:rsidRPr="002F1FE0" w:rsidRDefault="00000000">
      <w:pPr>
        <w:pStyle w:val="P68B1DB1-Titolo28"/>
        <w:spacing w:after="120" w:line="240" w:lineRule="auto"/>
        <w:jc w:val="both"/>
        <w:rPr>
          <w:b/>
          <w:i/>
          <w:lang w:val="en-GB"/>
        </w:rPr>
      </w:pPr>
      <w:r w:rsidRPr="002F1FE0">
        <w:rPr>
          <w:lang w:val="en-GB"/>
        </w:rPr>
        <w:t>Participation in laboratory tutorials, educational outings and seminars is strongly recommended.</w:t>
      </w:r>
    </w:p>
    <w:p w14:paraId="3191685F" w14:textId="77777777" w:rsidR="00EF3570" w:rsidRPr="002F1FE0" w:rsidRDefault="00000000">
      <w:pPr>
        <w:spacing w:after="120" w:line="240" w:lineRule="auto"/>
        <w:rPr>
          <w:lang w:val="en-GB"/>
        </w:rPr>
      </w:pPr>
      <w:r w:rsidRPr="002F1FE0">
        <w:rPr>
          <w:lang w:val="en-GB"/>
        </w:rPr>
        <w:t>Should the health situation relating to the Covid-19 pandemic not allow face-to-face teaching, remote teaching in synchronous or asynchronous mode will be guaranteed; this will be communicated in good time to students.</w:t>
      </w:r>
    </w:p>
    <w:p w14:paraId="325DCC38" w14:textId="77777777" w:rsidR="00EF3570" w:rsidRPr="002F1FE0" w:rsidRDefault="00EF3570">
      <w:pPr>
        <w:pStyle w:val="Titolo2"/>
        <w:spacing w:after="120" w:line="240" w:lineRule="auto"/>
        <w:jc w:val="both"/>
        <w:rPr>
          <w:rFonts w:ascii="Times New Roman" w:hAnsi="Times New Roman"/>
          <w:b/>
          <w:i/>
          <w:sz w:val="20"/>
          <w:lang w:val="en-GB"/>
        </w:rPr>
      </w:pPr>
    </w:p>
    <w:p w14:paraId="027771FE" w14:textId="77777777" w:rsidR="002F1FE0" w:rsidRPr="002F1FE0" w:rsidRDefault="002F1FE0" w:rsidP="002F1FE0">
      <w:pPr>
        <w:ind w:firstLine="284"/>
        <w:rPr>
          <w:rFonts w:cs="Times"/>
          <w:lang w:val="en-GB"/>
        </w:rPr>
      </w:pPr>
      <w:r w:rsidRPr="002F1FE0">
        <w:rPr>
          <w:rFonts w:cs="Times"/>
          <w:lang w:val="en-GB"/>
        </w:rPr>
        <w:t>Information on office hours available on the teacher's personal page at http://docenti.unicatt.it/.</w:t>
      </w:r>
    </w:p>
    <w:p w14:paraId="17467A00" w14:textId="4BEDF25B" w:rsidR="00EF3570" w:rsidRPr="002F1FE0" w:rsidRDefault="00EF3570" w:rsidP="002F1FE0">
      <w:pPr>
        <w:pStyle w:val="P68B1DB1-Titolo29"/>
        <w:spacing w:after="120" w:line="240" w:lineRule="auto"/>
        <w:jc w:val="both"/>
        <w:rPr>
          <w:lang w:val="en-GB"/>
        </w:rPr>
      </w:pPr>
    </w:p>
    <w:sectPr w:rsidR="00EF3570" w:rsidRPr="002F1FE0">
      <w:pgSz w:w="11906" w:h="16838" w:code="9"/>
      <w:pgMar w:top="2563"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692"/>
    <w:multiLevelType w:val="hybridMultilevel"/>
    <w:tmpl w:val="7F101926"/>
    <w:lvl w:ilvl="0" w:tplc="04100001">
      <w:start w:val="1"/>
      <w:numFmt w:val="bullet"/>
      <w:lvlText w:val=""/>
      <w:lvlJc w:val="left"/>
      <w:pPr>
        <w:tabs>
          <w:tab w:val="num" w:pos="170"/>
        </w:tabs>
        <w:ind w:left="283" w:hanging="283"/>
      </w:pPr>
      <w:rPr>
        <w:rFonts w:ascii="Symbol" w:hAnsi="Symbol" w:hint="default"/>
      </w:rPr>
    </w:lvl>
    <w:lvl w:ilvl="1" w:tplc="04100003">
      <w:start w:val="1"/>
      <w:numFmt w:val="bullet"/>
      <w:lvlText w:val="o"/>
      <w:lvlJc w:val="left"/>
      <w:pPr>
        <w:ind w:left="702" w:hanging="360"/>
      </w:pPr>
      <w:rPr>
        <w:rFonts w:ascii="Courier New" w:hAnsi="Courier New" w:cs="Courier New" w:hint="default"/>
      </w:rPr>
    </w:lvl>
    <w:lvl w:ilvl="2" w:tplc="04100005" w:tentative="1">
      <w:start w:val="1"/>
      <w:numFmt w:val="bullet"/>
      <w:lvlText w:val=""/>
      <w:lvlJc w:val="left"/>
      <w:pPr>
        <w:ind w:left="1422" w:hanging="360"/>
      </w:pPr>
      <w:rPr>
        <w:rFonts w:ascii="Wingdings" w:hAnsi="Wingdings" w:hint="default"/>
      </w:rPr>
    </w:lvl>
    <w:lvl w:ilvl="3" w:tplc="04100001" w:tentative="1">
      <w:start w:val="1"/>
      <w:numFmt w:val="bullet"/>
      <w:lvlText w:val=""/>
      <w:lvlJc w:val="left"/>
      <w:pPr>
        <w:ind w:left="2142" w:hanging="360"/>
      </w:pPr>
      <w:rPr>
        <w:rFonts w:ascii="Symbol" w:hAnsi="Symbol" w:hint="default"/>
      </w:rPr>
    </w:lvl>
    <w:lvl w:ilvl="4" w:tplc="04100003" w:tentative="1">
      <w:start w:val="1"/>
      <w:numFmt w:val="bullet"/>
      <w:lvlText w:val="o"/>
      <w:lvlJc w:val="left"/>
      <w:pPr>
        <w:ind w:left="2862" w:hanging="360"/>
      </w:pPr>
      <w:rPr>
        <w:rFonts w:ascii="Courier New" w:hAnsi="Courier New" w:cs="Courier New" w:hint="default"/>
      </w:rPr>
    </w:lvl>
    <w:lvl w:ilvl="5" w:tplc="04100005" w:tentative="1">
      <w:start w:val="1"/>
      <w:numFmt w:val="bullet"/>
      <w:lvlText w:val=""/>
      <w:lvlJc w:val="left"/>
      <w:pPr>
        <w:ind w:left="3582" w:hanging="360"/>
      </w:pPr>
      <w:rPr>
        <w:rFonts w:ascii="Wingdings" w:hAnsi="Wingdings" w:hint="default"/>
      </w:rPr>
    </w:lvl>
    <w:lvl w:ilvl="6" w:tplc="04100001" w:tentative="1">
      <w:start w:val="1"/>
      <w:numFmt w:val="bullet"/>
      <w:lvlText w:val=""/>
      <w:lvlJc w:val="left"/>
      <w:pPr>
        <w:ind w:left="4302" w:hanging="360"/>
      </w:pPr>
      <w:rPr>
        <w:rFonts w:ascii="Symbol" w:hAnsi="Symbol" w:hint="default"/>
      </w:rPr>
    </w:lvl>
    <w:lvl w:ilvl="7" w:tplc="04100003" w:tentative="1">
      <w:start w:val="1"/>
      <w:numFmt w:val="bullet"/>
      <w:lvlText w:val="o"/>
      <w:lvlJc w:val="left"/>
      <w:pPr>
        <w:ind w:left="5022" w:hanging="360"/>
      </w:pPr>
      <w:rPr>
        <w:rFonts w:ascii="Courier New" w:hAnsi="Courier New" w:cs="Courier New" w:hint="default"/>
      </w:rPr>
    </w:lvl>
    <w:lvl w:ilvl="8" w:tplc="04100005" w:tentative="1">
      <w:start w:val="1"/>
      <w:numFmt w:val="bullet"/>
      <w:lvlText w:val=""/>
      <w:lvlJc w:val="left"/>
      <w:pPr>
        <w:ind w:left="5742" w:hanging="360"/>
      </w:pPr>
      <w:rPr>
        <w:rFonts w:ascii="Wingdings" w:hAnsi="Wingdings" w:hint="default"/>
      </w:rPr>
    </w:lvl>
  </w:abstractNum>
  <w:abstractNum w:abstractNumId="1" w15:restartNumberingAfterBreak="0">
    <w:nsid w:val="2896317C"/>
    <w:multiLevelType w:val="hybridMultilevel"/>
    <w:tmpl w:val="54940E1C"/>
    <w:lvl w:ilvl="0" w:tplc="DEA4F364">
      <w:numFmt w:val="bullet"/>
      <w:lvlText w:val="-"/>
      <w:lvlJc w:val="left"/>
      <w:pPr>
        <w:ind w:left="720" w:hanging="360"/>
      </w:pPr>
      <w:rPr>
        <w:rFonts w:ascii="Times" w:eastAsia="Times New Roman" w:hAnsi="Times"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3127F7"/>
    <w:multiLevelType w:val="hybridMultilevel"/>
    <w:tmpl w:val="AB9E5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C44188"/>
    <w:multiLevelType w:val="hybridMultilevel"/>
    <w:tmpl w:val="73005CCE"/>
    <w:lvl w:ilvl="0" w:tplc="DDAE17B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9762414">
    <w:abstractNumId w:val="0"/>
  </w:num>
  <w:num w:numId="2" w16cid:durableId="1006905355">
    <w:abstractNumId w:val="2"/>
  </w:num>
  <w:num w:numId="3" w16cid:durableId="602109907">
    <w:abstractNumId w:val="3"/>
  </w:num>
  <w:num w:numId="4" w16cid:durableId="1523470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7B"/>
    <w:rsid w:val="00094F40"/>
    <w:rsid w:val="000A7FE5"/>
    <w:rsid w:val="00186D31"/>
    <w:rsid w:val="001C71C1"/>
    <w:rsid w:val="001D33C7"/>
    <w:rsid w:val="00213904"/>
    <w:rsid w:val="002A63CF"/>
    <w:rsid w:val="002B2DCE"/>
    <w:rsid w:val="002B717F"/>
    <w:rsid w:val="002F1FE0"/>
    <w:rsid w:val="00347F2E"/>
    <w:rsid w:val="003C15D3"/>
    <w:rsid w:val="003C2CDF"/>
    <w:rsid w:val="004040F0"/>
    <w:rsid w:val="0042209E"/>
    <w:rsid w:val="00486739"/>
    <w:rsid w:val="00572F7A"/>
    <w:rsid w:val="0062167B"/>
    <w:rsid w:val="006D4CB5"/>
    <w:rsid w:val="00743E0E"/>
    <w:rsid w:val="00744BC0"/>
    <w:rsid w:val="00770897"/>
    <w:rsid w:val="007D0B46"/>
    <w:rsid w:val="007F2DF1"/>
    <w:rsid w:val="00975832"/>
    <w:rsid w:val="009A02B4"/>
    <w:rsid w:val="009B43C5"/>
    <w:rsid w:val="009C7E00"/>
    <w:rsid w:val="00A41DAA"/>
    <w:rsid w:val="00B16CEB"/>
    <w:rsid w:val="00B7069F"/>
    <w:rsid w:val="00B76AA5"/>
    <w:rsid w:val="00C25A31"/>
    <w:rsid w:val="00C636BD"/>
    <w:rsid w:val="00CA1D36"/>
    <w:rsid w:val="00CC1C9D"/>
    <w:rsid w:val="00D17265"/>
    <w:rsid w:val="00D90B2E"/>
    <w:rsid w:val="00DE01D4"/>
    <w:rsid w:val="00DE14F6"/>
    <w:rsid w:val="00DF56EC"/>
    <w:rsid w:val="00E210AA"/>
    <w:rsid w:val="00E31B8B"/>
    <w:rsid w:val="00E350F0"/>
    <w:rsid w:val="00EB28D6"/>
    <w:rsid w:val="00EB498B"/>
    <w:rsid w:val="00EF3570"/>
    <w:rsid w:val="00F41677"/>
    <w:rsid w:val="00FB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174E1"/>
  <w15:docId w15:val="{2C710FF8-F0C1-4E7E-9DAF-D39C2F41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C636BD"/>
    <w:pPr>
      <w:tabs>
        <w:tab w:val="clear" w:pos="284"/>
      </w:tabs>
      <w:spacing w:line="240" w:lineRule="auto"/>
      <w:jc w:val="left"/>
    </w:pPr>
    <w:rPr>
      <w:rFonts w:ascii="Times New Roman" w:hAnsi="Times New Roman"/>
      <w:sz w:val="24"/>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Paragrafoelenco">
    <w:name w:val="List Paragraph"/>
    <w:basedOn w:val="Normale"/>
    <w:uiPriority w:val="34"/>
    <w:qFormat/>
    <w:rsid w:val="009C7E00"/>
    <w:pPr>
      <w:ind w:left="720"/>
      <w:contextualSpacing/>
    </w:pPr>
  </w:style>
  <w:style w:type="character" w:customStyle="1" w:styleId="Titolo1Carattere">
    <w:name w:val="Titolo 1 Carattere"/>
    <w:basedOn w:val="Carpredefinitoparagrafo"/>
    <w:link w:val="Titolo1"/>
    <w:rsid w:val="0042209E"/>
    <w:rPr>
      <w:rFonts w:ascii="Times" w:hAnsi="Times"/>
      <w:b/>
    </w:rPr>
  </w:style>
  <w:style w:type="character" w:customStyle="1" w:styleId="Titolo2Carattere">
    <w:name w:val="Titolo 2 Carattere"/>
    <w:basedOn w:val="Carpredefinitoparagrafo"/>
    <w:link w:val="Titolo2"/>
    <w:rsid w:val="0042209E"/>
    <w:rPr>
      <w:rFonts w:ascii="Times" w:hAnsi="Times"/>
      <w:smallCaps/>
      <w:sz w:val="18"/>
    </w:rPr>
  </w:style>
  <w:style w:type="paragraph" w:customStyle="1" w:styleId="Default">
    <w:name w:val="Default"/>
    <w:basedOn w:val="Normale"/>
    <w:uiPriority w:val="99"/>
    <w:rsid w:val="00B16CEB"/>
    <w:pPr>
      <w:tabs>
        <w:tab w:val="clear" w:pos="284"/>
      </w:tabs>
      <w:autoSpaceDE w:val="0"/>
      <w:autoSpaceDN w:val="0"/>
      <w:spacing w:line="240" w:lineRule="auto"/>
      <w:jc w:val="left"/>
    </w:pPr>
    <w:rPr>
      <w:rFonts w:ascii="Verdana" w:eastAsiaTheme="minorHAnsi" w:hAnsi="Verdana"/>
      <w:color w:val="000000"/>
      <w:sz w:val="24"/>
    </w:rPr>
  </w:style>
  <w:style w:type="character" w:customStyle="1" w:styleId="a-size-extra-large">
    <w:name w:val="a-size-extra-large"/>
    <w:basedOn w:val="Carpredefinitoparagrafo"/>
    <w:rsid w:val="00FB7938"/>
  </w:style>
  <w:style w:type="paragraph" w:customStyle="1" w:styleId="P68B1DB1-Titolo21">
    <w:name w:val="P68B1DB1-Titolo21"/>
    <w:basedOn w:val="Titolo2"/>
    <w:rPr>
      <w:rFonts w:ascii="Times New Roman" w:hAnsi="Times New Roman"/>
      <w:sz w:val="20"/>
    </w:rPr>
  </w:style>
  <w:style w:type="paragraph" w:customStyle="1" w:styleId="P68B1DB1-Normale2">
    <w:name w:val="P68B1DB1-Normale2"/>
    <w:basedOn w:val="Normale"/>
    <w:rPr>
      <w:rFonts w:ascii="Times New Roman" w:hAnsi="Times New Roman"/>
      <w:b/>
      <w:i/>
    </w:rPr>
  </w:style>
  <w:style w:type="paragraph" w:customStyle="1" w:styleId="P68B1DB1-Normale3">
    <w:name w:val="P68B1DB1-Normale3"/>
    <w:basedOn w:val="Normale"/>
    <w:rPr>
      <w:rFonts w:ascii="Times New Roman" w:hAnsi="Times New Roman"/>
    </w:rPr>
  </w:style>
  <w:style w:type="paragraph" w:customStyle="1" w:styleId="P68B1DB1-Normale4">
    <w:name w:val="P68B1DB1-Normale4"/>
    <w:basedOn w:val="Normale"/>
    <w:rPr>
      <w:rFonts w:ascii="Times New Roman" w:hAnsi="Times New Roman"/>
      <w:b/>
    </w:rPr>
  </w:style>
  <w:style w:type="paragraph" w:customStyle="1" w:styleId="P68B1DB1-Paragrafoelenco5">
    <w:name w:val="P68B1DB1-Paragrafoelenco5"/>
    <w:basedOn w:val="Paragrafoelenco"/>
    <w:rPr>
      <w:rFonts w:ascii="Times New Roman" w:hAnsi="Times New Roman"/>
    </w:rPr>
  </w:style>
  <w:style w:type="paragraph" w:customStyle="1" w:styleId="P68B1DB1-Testo26">
    <w:name w:val="P68B1DB1-Testo26"/>
    <w:basedOn w:val="Testo2"/>
    <w:rPr>
      <w:rFonts w:ascii="Times New Roman" w:hAnsi="Times New Roman"/>
      <w:sz w:val="20"/>
    </w:rPr>
  </w:style>
  <w:style w:type="paragraph" w:customStyle="1" w:styleId="P68B1DB1-Default7">
    <w:name w:val="P68B1DB1-Default7"/>
    <w:basedOn w:val="Default"/>
    <w:rPr>
      <w:rFonts w:ascii="Times New Roman" w:eastAsia="Times New Roman" w:hAnsi="Times New Roman"/>
      <w:color w:val="auto"/>
      <w:sz w:val="20"/>
    </w:rPr>
  </w:style>
  <w:style w:type="paragraph" w:customStyle="1" w:styleId="P68B1DB1-Titolo28">
    <w:name w:val="P68B1DB1-Titolo28"/>
    <w:basedOn w:val="Titolo2"/>
    <w:rPr>
      <w:rFonts w:ascii="Times New Roman" w:hAnsi="Times New Roman"/>
      <w:smallCaps w:val="0"/>
      <w:sz w:val="20"/>
    </w:rPr>
  </w:style>
  <w:style w:type="paragraph" w:customStyle="1" w:styleId="P68B1DB1-Titolo29">
    <w:name w:val="P68B1DB1-Titolo29"/>
    <w:basedOn w:val="Titolo2"/>
    <w:rPr>
      <w:rFonts w:ascii="Times New Roman" w:hAnsi="Times New Roman"/>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8046">
      <w:bodyDiv w:val="1"/>
      <w:marLeft w:val="0"/>
      <w:marRight w:val="0"/>
      <w:marTop w:val="0"/>
      <w:marBottom w:val="0"/>
      <w:divBdr>
        <w:top w:val="none" w:sz="0" w:space="0" w:color="auto"/>
        <w:left w:val="none" w:sz="0" w:space="0" w:color="auto"/>
        <w:bottom w:val="none" w:sz="0" w:space="0" w:color="auto"/>
        <w:right w:val="none" w:sz="0" w:space="0" w:color="auto"/>
      </w:divBdr>
    </w:div>
    <w:div w:id="768352483">
      <w:bodyDiv w:val="1"/>
      <w:marLeft w:val="0"/>
      <w:marRight w:val="0"/>
      <w:marTop w:val="0"/>
      <w:marBottom w:val="0"/>
      <w:divBdr>
        <w:top w:val="none" w:sz="0" w:space="0" w:color="auto"/>
        <w:left w:val="none" w:sz="0" w:space="0" w:color="auto"/>
        <w:bottom w:val="none" w:sz="0" w:space="0" w:color="auto"/>
        <w:right w:val="none" w:sz="0" w:space="0" w:color="auto"/>
      </w:divBdr>
    </w:div>
    <w:div w:id="19592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3397-94FC-467E-83CA-AD76B287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4</Pages>
  <Words>1095</Words>
  <Characters>6244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Ferrario Laura</cp:lastModifiedBy>
  <cp:revision>3</cp:revision>
  <cp:lastPrinted>2003-03-27T09:42:00Z</cp:lastPrinted>
  <dcterms:created xsi:type="dcterms:W3CDTF">2022-10-04T06:51:00Z</dcterms:created>
  <dcterms:modified xsi:type="dcterms:W3CDTF">2022-10-04T07:03:00Z</dcterms:modified>
</cp:coreProperties>
</file>