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704E" w14:textId="77777777" w:rsidR="00FC2B60" w:rsidRPr="00186190" w:rsidRDefault="00000000">
      <w:pPr>
        <w:pStyle w:val="P68B1DB1-Titolo11"/>
        <w:spacing w:line="240" w:lineRule="auto"/>
        <w:rPr>
          <w:sz w:val="20"/>
          <w:lang w:val="en-GB"/>
        </w:rPr>
      </w:pPr>
      <w:proofErr w:type="gramStart"/>
      <w:r w:rsidRPr="00186190">
        <w:rPr>
          <w:sz w:val="20"/>
          <w:lang w:val="en-GB"/>
        </w:rPr>
        <w:t>.-</w:t>
      </w:r>
      <w:proofErr w:type="gramEnd"/>
      <w:r w:rsidRPr="00186190">
        <w:rPr>
          <w:sz w:val="20"/>
          <w:lang w:val="en-GB"/>
        </w:rPr>
        <w:t xml:space="preserve"> Food Microbiology II</w:t>
      </w:r>
    </w:p>
    <w:p w14:paraId="224759F2" w14:textId="77777777" w:rsidR="00FC2B60" w:rsidRPr="00186190" w:rsidRDefault="00000000">
      <w:pPr>
        <w:pStyle w:val="P68B1DB1-Titolo22"/>
        <w:spacing w:line="240" w:lineRule="auto"/>
        <w:rPr>
          <w:sz w:val="20"/>
          <w:lang w:val="en-GB"/>
        </w:rPr>
      </w:pPr>
      <w:r w:rsidRPr="00186190">
        <w:rPr>
          <w:sz w:val="20"/>
          <w:lang w:val="en-GB"/>
        </w:rPr>
        <w:t xml:space="preserve">Prof. Pier Sandro </w:t>
      </w:r>
      <w:proofErr w:type="spellStart"/>
      <w:r w:rsidRPr="00186190">
        <w:rPr>
          <w:sz w:val="20"/>
          <w:lang w:val="en-GB"/>
        </w:rPr>
        <w:t>Cocconcelli</w:t>
      </w:r>
      <w:proofErr w:type="spellEnd"/>
    </w:p>
    <w:p w14:paraId="5F1F1045" w14:textId="6F756914" w:rsidR="00233CBB" w:rsidRPr="00186190" w:rsidRDefault="00233CBB" w:rsidP="00233CBB">
      <w:pPr>
        <w:spacing w:before="240" w:after="120"/>
        <w:rPr>
          <w:rFonts w:cs="Times"/>
          <w:b/>
          <w:bCs/>
          <w:i/>
          <w:iCs/>
          <w:lang w:val="en-GB"/>
        </w:rPr>
      </w:pPr>
      <w:r w:rsidRPr="00186190">
        <w:rPr>
          <w:rFonts w:cs="Times"/>
          <w:b/>
          <w:bCs/>
          <w:i/>
          <w:iCs/>
          <w:lang w:val="en-GB"/>
        </w:rPr>
        <w:t>Text under revision. Not yet approved by academic staff. </w:t>
      </w:r>
    </w:p>
    <w:p w14:paraId="26526B30" w14:textId="77777777" w:rsidR="00FC2B60" w:rsidRPr="00186190" w:rsidRDefault="00000000">
      <w:pPr>
        <w:pStyle w:val="P68B1DB1-Normale3"/>
        <w:spacing w:before="240" w:after="120" w:line="240" w:lineRule="auto"/>
        <w:rPr>
          <w:sz w:val="20"/>
          <w:lang w:val="en-GB"/>
        </w:rPr>
      </w:pPr>
      <w:r w:rsidRPr="00186190">
        <w:rPr>
          <w:sz w:val="20"/>
          <w:lang w:val="en-GB"/>
        </w:rPr>
        <w:t>COURSE AIMS AND INTENDED LEARNING OUTCOMES</w:t>
      </w:r>
    </w:p>
    <w:p w14:paraId="42E6D4D9" w14:textId="71E44AA4" w:rsidR="00FC2B60" w:rsidRPr="00186190" w:rsidRDefault="00000000">
      <w:pPr>
        <w:pStyle w:val="P68B1DB1-Normale4"/>
        <w:spacing w:line="240" w:lineRule="auto"/>
        <w:rPr>
          <w:sz w:val="20"/>
          <w:lang w:val="en-GB"/>
        </w:rPr>
      </w:pPr>
      <w:r w:rsidRPr="00186190">
        <w:rPr>
          <w:sz w:val="20"/>
          <w:lang w:val="en-GB"/>
        </w:rPr>
        <w:tab/>
        <w:t xml:space="preserve">The aim of the course is to provide students with in-depth knowledge of food microbiology, necessary for the management of food safety and production processes. In the first part of the course, the general interactions between the food environment, technological processes and microorganisms will be explored more deeply, using the latest scientific information derived from the application of -omic sciences to microbiology. Subsequently, the following will be addressed: 1) measures to mitigate microbiological risks in foods, with particular reference to pathogenic bacteria and viruses, 2) the microbiota of food alteration and how to combat it, and 3) the role of microorganisms in food fermentation processes. The main case studies related to food safety and microbiological quality management will be presented and discussed during the course. </w:t>
      </w:r>
    </w:p>
    <w:p w14:paraId="2C805C74" w14:textId="77777777" w:rsidR="00FC2B60" w:rsidRPr="00186190" w:rsidRDefault="00FC2B60">
      <w:pPr>
        <w:spacing w:line="240" w:lineRule="auto"/>
        <w:rPr>
          <w:rFonts w:ascii="Times New Roman" w:hAnsi="Times New Roman"/>
          <w:b/>
          <w:i/>
          <w:lang w:val="en-GB"/>
        </w:rPr>
      </w:pPr>
    </w:p>
    <w:p w14:paraId="53679CE4" w14:textId="77777777" w:rsidR="00FC2B60" w:rsidRPr="00186190" w:rsidRDefault="00000000">
      <w:pPr>
        <w:pStyle w:val="P68B1DB1-Normale4"/>
        <w:spacing w:line="240" w:lineRule="auto"/>
        <w:rPr>
          <w:sz w:val="20"/>
          <w:lang w:val="en-GB"/>
        </w:rPr>
      </w:pPr>
      <w:r w:rsidRPr="00186190">
        <w:rPr>
          <w:sz w:val="20"/>
          <w:lang w:val="en-GB"/>
        </w:rPr>
        <w:t>At the end of the course, students should possess a solid scientific base to food microbiology and be able to:</w:t>
      </w:r>
    </w:p>
    <w:p w14:paraId="48FAACFF" w14:textId="6202E66D" w:rsidR="00FC2B60" w:rsidRPr="00186190" w:rsidRDefault="00000000">
      <w:pPr>
        <w:pStyle w:val="P68B1DB1-Paragrafoelenco5"/>
        <w:numPr>
          <w:ilvl w:val="0"/>
          <w:numId w:val="2"/>
        </w:numPr>
        <w:spacing w:line="240" w:lineRule="auto"/>
        <w:rPr>
          <w:sz w:val="20"/>
          <w:lang w:val="en-GB"/>
        </w:rPr>
      </w:pPr>
      <w:r w:rsidRPr="00186190">
        <w:rPr>
          <w:sz w:val="20"/>
          <w:lang w:val="en-GB"/>
        </w:rPr>
        <w:t>carry out a critical analysis of the safety and microbiological quality management processes in the food chain</w:t>
      </w:r>
      <w:r w:rsidR="00F11D36">
        <w:rPr>
          <w:sz w:val="20"/>
          <w:lang w:val="en-GB"/>
        </w:rPr>
        <w:t>;</w:t>
      </w:r>
    </w:p>
    <w:p w14:paraId="53CB8821" w14:textId="244ECA54" w:rsidR="00FC2B60" w:rsidRPr="00186190" w:rsidRDefault="00000000">
      <w:pPr>
        <w:pStyle w:val="P68B1DB1-Paragrafoelenco5"/>
        <w:numPr>
          <w:ilvl w:val="0"/>
          <w:numId w:val="2"/>
        </w:numPr>
        <w:spacing w:line="240" w:lineRule="auto"/>
        <w:rPr>
          <w:sz w:val="20"/>
          <w:lang w:val="en-GB"/>
        </w:rPr>
      </w:pPr>
      <w:r w:rsidRPr="00186190">
        <w:rPr>
          <w:sz w:val="20"/>
          <w:lang w:val="en-GB"/>
        </w:rPr>
        <w:t>apply microbiological risk assessment, management and mitigation procedures in the food industry</w:t>
      </w:r>
      <w:r w:rsidR="00F11D36">
        <w:rPr>
          <w:sz w:val="20"/>
          <w:lang w:val="en-GB"/>
        </w:rPr>
        <w:t>;</w:t>
      </w:r>
    </w:p>
    <w:p w14:paraId="42323D7E" w14:textId="7DB4AD1D" w:rsidR="00FC2B60" w:rsidRPr="00186190" w:rsidRDefault="00000000">
      <w:pPr>
        <w:pStyle w:val="P68B1DB1-Paragrafoelenco5"/>
        <w:numPr>
          <w:ilvl w:val="0"/>
          <w:numId w:val="2"/>
        </w:numPr>
        <w:spacing w:line="240" w:lineRule="auto"/>
        <w:rPr>
          <w:sz w:val="20"/>
          <w:lang w:val="en-GB"/>
        </w:rPr>
      </w:pPr>
      <w:r w:rsidRPr="00186190">
        <w:rPr>
          <w:sz w:val="20"/>
          <w:lang w:val="en-GB"/>
        </w:rPr>
        <w:t>promote food quality through the management of microbial communities</w:t>
      </w:r>
      <w:r w:rsidR="00F11D36">
        <w:rPr>
          <w:sz w:val="20"/>
          <w:lang w:val="en-GB"/>
        </w:rPr>
        <w:t>.</w:t>
      </w:r>
    </w:p>
    <w:p w14:paraId="1C6DED02" w14:textId="77777777" w:rsidR="00FC2B60" w:rsidRPr="00186190" w:rsidRDefault="00FC2B60">
      <w:pPr>
        <w:spacing w:line="240" w:lineRule="auto"/>
        <w:ind w:left="360"/>
        <w:rPr>
          <w:rFonts w:ascii="Times New Roman" w:hAnsi="Times New Roman"/>
          <w:lang w:val="en-GB"/>
        </w:rPr>
      </w:pPr>
    </w:p>
    <w:p w14:paraId="402A1E39" w14:textId="77777777" w:rsidR="00FC2B60" w:rsidRPr="00186190" w:rsidRDefault="00000000">
      <w:pPr>
        <w:pStyle w:val="P68B1DB1-Normale3"/>
        <w:spacing w:before="240" w:after="120" w:line="240" w:lineRule="auto"/>
        <w:rPr>
          <w:sz w:val="20"/>
          <w:lang w:val="en-GB"/>
        </w:rPr>
      </w:pPr>
      <w:r w:rsidRPr="00186190">
        <w:rPr>
          <w:sz w:val="20"/>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FC2B60" w:rsidRPr="00186190" w14:paraId="0D855734" w14:textId="77777777">
        <w:tc>
          <w:tcPr>
            <w:tcW w:w="5555" w:type="dxa"/>
            <w:tcBorders>
              <w:top w:val="single" w:sz="4" w:space="0" w:color="auto"/>
              <w:left w:val="nil"/>
              <w:bottom w:val="single" w:sz="4" w:space="0" w:color="auto"/>
              <w:right w:val="nil"/>
            </w:tcBorders>
          </w:tcPr>
          <w:p w14:paraId="2AD648E6" w14:textId="77777777" w:rsidR="00FC2B60" w:rsidRPr="00186190" w:rsidRDefault="00FC2B60">
            <w:pPr>
              <w:spacing w:line="240" w:lineRule="auto"/>
              <w:rPr>
                <w:rFonts w:ascii="Times New Roman" w:hAnsi="Times New Roman"/>
                <w:lang w:val="en-GB"/>
              </w:rPr>
            </w:pPr>
          </w:p>
        </w:tc>
        <w:tc>
          <w:tcPr>
            <w:tcW w:w="1135" w:type="dxa"/>
            <w:tcBorders>
              <w:top w:val="single" w:sz="4" w:space="0" w:color="auto"/>
              <w:left w:val="nil"/>
              <w:bottom w:val="single" w:sz="4" w:space="0" w:color="auto"/>
              <w:right w:val="nil"/>
            </w:tcBorders>
            <w:hideMark/>
          </w:tcPr>
          <w:p w14:paraId="79B77160" w14:textId="77777777" w:rsidR="00FC2B60" w:rsidRPr="00186190" w:rsidRDefault="00000000">
            <w:pPr>
              <w:pStyle w:val="P68B1DB1-Normale4"/>
              <w:spacing w:line="240" w:lineRule="auto"/>
              <w:rPr>
                <w:sz w:val="20"/>
                <w:lang w:val="en-GB"/>
              </w:rPr>
            </w:pPr>
            <w:r w:rsidRPr="00186190">
              <w:rPr>
                <w:sz w:val="20"/>
                <w:lang w:val="en-GB"/>
              </w:rPr>
              <w:t>ECTS</w:t>
            </w:r>
          </w:p>
        </w:tc>
      </w:tr>
      <w:tr w:rsidR="00FC2B60" w:rsidRPr="00186190" w14:paraId="51227290" w14:textId="77777777">
        <w:tc>
          <w:tcPr>
            <w:tcW w:w="5555" w:type="dxa"/>
            <w:tcBorders>
              <w:top w:val="single" w:sz="4" w:space="0" w:color="auto"/>
              <w:left w:val="nil"/>
              <w:bottom w:val="single" w:sz="4" w:space="0" w:color="auto"/>
              <w:right w:val="nil"/>
            </w:tcBorders>
            <w:hideMark/>
          </w:tcPr>
          <w:p w14:paraId="4F6F2BF3" w14:textId="77777777" w:rsidR="00FC2B60" w:rsidRPr="00186190" w:rsidRDefault="00000000">
            <w:pPr>
              <w:pStyle w:val="P68B1DB1-Normale4"/>
              <w:spacing w:line="240" w:lineRule="auto"/>
              <w:rPr>
                <w:sz w:val="20"/>
                <w:lang w:val="en-GB"/>
              </w:rPr>
            </w:pPr>
            <w:r w:rsidRPr="00186190">
              <w:rPr>
                <w:sz w:val="20"/>
                <w:lang w:val="en-GB"/>
              </w:rPr>
              <w:t>Food as an ecosystem: the factors that influence the survival and growth of food microbial communities. Analysis of the molecular mechanisms underlying adaptation to the food environment.</w:t>
            </w:r>
          </w:p>
        </w:tc>
        <w:tc>
          <w:tcPr>
            <w:tcW w:w="1135" w:type="dxa"/>
            <w:tcBorders>
              <w:top w:val="single" w:sz="4" w:space="0" w:color="auto"/>
              <w:left w:val="nil"/>
              <w:bottom w:val="single" w:sz="4" w:space="0" w:color="auto"/>
              <w:right w:val="nil"/>
            </w:tcBorders>
            <w:hideMark/>
          </w:tcPr>
          <w:p w14:paraId="76F5DCBF" w14:textId="62B9CE18" w:rsidR="00FC2B60" w:rsidRPr="00186190" w:rsidRDefault="00000000">
            <w:pPr>
              <w:pStyle w:val="P68B1DB1-Normale4"/>
              <w:spacing w:line="240" w:lineRule="auto"/>
              <w:rPr>
                <w:sz w:val="20"/>
                <w:lang w:val="en-GB"/>
              </w:rPr>
            </w:pPr>
            <w:r w:rsidRPr="00186190">
              <w:rPr>
                <w:sz w:val="20"/>
                <w:lang w:val="en-GB"/>
              </w:rPr>
              <w:t>1.0</w:t>
            </w:r>
          </w:p>
        </w:tc>
      </w:tr>
      <w:tr w:rsidR="00FC2B60" w:rsidRPr="00186190" w14:paraId="2B12B3B8" w14:textId="77777777">
        <w:tc>
          <w:tcPr>
            <w:tcW w:w="5555" w:type="dxa"/>
            <w:tcBorders>
              <w:top w:val="single" w:sz="4" w:space="0" w:color="auto"/>
              <w:left w:val="nil"/>
              <w:bottom w:val="single" w:sz="4" w:space="0" w:color="auto"/>
              <w:right w:val="nil"/>
            </w:tcBorders>
            <w:hideMark/>
          </w:tcPr>
          <w:p w14:paraId="3191DCCC" w14:textId="3710BFEC" w:rsidR="00FC2B60" w:rsidRPr="00186190" w:rsidRDefault="00000000">
            <w:pPr>
              <w:pStyle w:val="P68B1DB1-Normale4"/>
              <w:spacing w:line="240" w:lineRule="auto"/>
              <w:rPr>
                <w:sz w:val="20"/>
                <w:lang w:val="en-GB"/>
              </w:rPr>
            </w:pPr>
            <w:r w:rsidRPr="00186190">
              <w:rPr>
                <w:sz w:val="20"/>
                <w:lang w:val="en-GB"/>
              </w:rPr>
              <w:t>Microbiological safety of food. Insights into pathogenic bacteria and viruses in food: information deriving from genomic studies. Emerging pathogens. Quantitative analysis of microbiological risk in food (Risk Assessment). Microbiological risk management in food production chains.</w:t>
            </w:r>
          </w:p>
        </w:tc>
        <w:tc>
          <w:tcPr>
            <w:tcW w:w="1135" w:type="dxa"/>
            <w:tcBorders>
              <w:top w:val="single" w:sz="4" w:space="0" w:color="auto"/>
              <w:left w:val="nil"/>
              <w:bottom w:val="single" w:sz="4" w:space="0" w:color="auto"/>
              <w:right w:val="nil"/>
            </w:tcBorders>
            <w:hideMark/>
          </w:tcPr>
          <w:p w14:paraId="43D059D2" w14:textId="10BE6821" w:rsidR="00FC2B60" w:rsidRPr="00186190" w:rsidRDefault="00000000">
            <w:pPr>
              <w:pStyle w:val="P68B1DB1-Normale4"/>
              <w:spacing w:line="240" w:lineRule="auto"/>
              <w:rPr>
                <w:sz w:val="20"/>
                <w:lang w:val="en-GB"/>
              </w:rPr>
            </w:pPr>
            <w:r w:rsidRPr="00186190">
              <w:rPr>
                <w:sz w:val="20"/>
                <w:lang w:val="en-GB"/>
              </w:rPr>
              <w:t>1.5</w:t>
            </w:r>
          </w:p>
        </w:tc>
      </w:tr>
      <w:tr w:rsidR="00FC2B60" w:rsidRPr="00186190" w14:paraId="22BC3995" w14:textId="77777777">
        <w:tc>
          <w:tcPr>
            <w:tcW w:w="5555" w:type="dxa"/>
            <w:tcBorders>
              <w:top w:val="single" w:sz="4" w:space="0" w:color="auto"/>
              <w:left w:val="nil"/>
              <w:bottom w:val="single" w:sz="4" w:space="0" w:color="auto"/>
              <w:right w:val="nil"/>
            </w:tcBorders>
          </w:tcPr>
          <w:p w14:paraId="616EA543" w14:textId="17621F02" w:rsidR="00FC2B60" w:rsidRPr="00186190" w:rsidRDefault="00000000">
            <w:pPr>
              <w:pStyle w:val="P68B1DB1-Normale4"/>
              <w:spacing w:line="240" w:lineRule="auto"/>
              <w:rPr>
                <w:sz w:val="20"/>
                <w:lang w:val="en-GB"/>
              </w:rPr>
            </w:pPr>
            <w:r w:rsidRPr="00186190">
              <w:rPr>
                <w:sz w:val="20"/>
                <w:lang w:val="en-GB"/>
              </w:rPr>
              <w:lastRenderedPageBreak/>
              <w:t>Microorganisms as food spoiling agents. Key factors for the control of microbial alteration. Microbiological aspects in determining the "date marking" of foods</w:t>
            </w:r>
            <w:r w:rsidR="00F11D36">
              <w:rPr>
                <w:sz w:val="20"/>
                <w:lang w:val="en-GB"/>
              </w:rPr>
              <w:t>.</w:t>
            </w:r>
          </w:p>
        </w:tc>
        <w:tc>
          <w:tcPr>
            <w:tcW w:w="1135" w:type="dxa"/>
            <w:tcBorders>
              <w:top w:val="single" w:sz="4" w:space="0" w:color="auto"/>
              <w:left w:val="nil"/>
              <w:bottom w:val="single" w:sz="4" w:space="0" w:color="auto"/>
              <w:right w:val="nil"/>
            </w:tcBorders>
          </w:tcPr>
          <w:p w14:paraId="6CC6D3E7" w14:textId="57535624" w:rsidR="00FC2B60" w:rsidRPr="00186190" w:rsidRDefault="00000000">
            <w:pPr>
              <w:pStyle w:val="P68B1DB1-Normale4"/>
              <w:spacing w:line="240" w:lineRule="auto"/>
              <w:rPr>
                <w:sz w:val="20"/>
                <w:lang w:val="en-GB"/>
              </w:rPr>
            </w:pPr>
            <w:r w:rsidRPr="00186190">
              <w:rPr>
                <w:sz w:val="20"/>
                <w:lang w:val="en-GB"/>
              </w:rPr>
              <w:t>1.0</w:t>
            </w:r>
          </w:p>
        </w:tc>
      </w:tr>
      <w:tr w:rsidR="00FC2B60" w:rsidRPr="00186190" w14:paraId="3663E94F" w14:textId="77777777">
        <w:tc>
          <w:tcPr>
            <w:tcW w:w="5555" w:type="dxa"/>
            <w:tcBorders>
              <w:top w:val="single" w:sz="4" w:space="0" w:color="auto"/>
              <w:left w:val="nil"/>
              <w:bottom w:val="single" w:sz="4" w:space="0" w:color="auto"/>
              <w:right w:val="nil"/>
            </w:tcBorders>
            <w:hideMark/>
          </w:tcPr>
          <w:p w14:paraId="078558F0" w14:textId="70DC1401" w:rsidR="00FC2B60" w:rsidRPr="00186190" w:rsidRDefault="00000000">
            <w:pPr>
              <w:pStyle w:val="P68B1DB1-Normale4"/>
              <w:spacing w:line="240" w:lineRule="auto"/>
              <w:rPr>
                <w:sz w:val="20"/>
                <w:lang w:val="en-GB"/>
              </w:rPr>
            </w:pPr>
            <w:r w:rsidRPr="00186190">
              <w:rPr>
                <w:sz w:val="20"/>
                <w:lang w:val="en-GB"/>
              </w:rPr>
              <w:t xml:space="preserve">The microbiota of fermented foods, biological diversity and technological properties. Adventitious, natural and selected crops for food fermentation. Fermentation of meat, dairy and vegetable products. </w:t>
            </w:r>
          </w:p>
        </w:tc>
        <w:tc>
          <w:tcPr>
            <w:tcW w:w="1135" w:type="dxa"/>
            <w:tcBorders>
              <w:top w:val="single" w:sz="4" w:space="0" w:color="auto"/>
              <w:left w:val="nil"/>
              <w:bottom w:val="single" w:sz="4" w:space="0" w:color="auto"/>
              <w:right w:val="nil"/>
            </w:tcBorders>
            <w:hideMark/>
          </w:tcPr>
          <w:p w14:paraId="21B1A06B" w14:textId="609AB0E6" w:rsidR="00FC2B60" w:rsidRPr="00186190" w:rsidRDefault="00000000">
            <w:pPr>
              <w:pStyle w:val="P68B1DB1-Normale4"/>
              <w:spacing w:line="240" w:lineRule="auto"/>
              <w:rPr>
                <w:sz w:val="20"/>
                <w:lang w:val="en-GB"/>
              </w:rPr>
            </w:pPr>
            <w:r w:rsidRPr="00186190">
              <w:rPr>
                <w:sz w:val="20"/>
                <w:lang w:val="en-GB"/>
              </w:rPr>
              <w:t>1.0</w:t>
            </w:r>
          </w:p>
        </w:tc>
      </w:tr>
      <w:tr w:rsidR="00FC2B60" w:rsidRPr="00186190" w14:paraId="662F2985" w14:textId="77777777">
        <w:tc>
          <w:tcPr>
            <w:tcW w:w="5555" w:type="dxa"/>
            <w:tcBorders>
              <w:top w:val="single" w:sz="4" w:space="0" w:color="auto"/>
              <w:left w:val="nil"/>
              <w:bottom w:val="single" w:sz="4" w:space="0" w:color="auto"/>
              <w:right w:val="nil"/>
            </w:tcBorders>
          </w:tcPr>
          <w:p w14:paraId="47C3F86F" w14:textId="2A4C51BD" w:rsidR="00FC2B60" w:rsidRPr="00186190" w:rsidRDefault="00000000">
            <w:pPr>
              <w:pStyle w:val="P68B1DB1-Normale4"/>
              <w:spacing w:line="240" w:lineRule="auto"/>
              <w:rPr>
                <w:sz w:val="20"/>
                <w:lang w:val="en-GB"/>
              </w:rPr>
            </w:pPr>
            <w:r w:rsidRPr="00186190">
              <w:rPr>
                <w:sz w:val="20"/>
                <w:lang w:val="en-GB"/>
              </w:rPr>
              <w:t>Precision Fermentation and cell engineering for food production</w:t>
            </w:r>
            <w:r w:rsidR="00F11D36">
              <w:rPr>
                <w:sz w:val="20"/>
                <w:lang w:val="en-GB"/>
              </w:rPr>
              <w:t>.</w:t>
            </w:r>
            <w:r w:rsidRPr="00186190">
              <w:rPr>
                <w:sz w:val="20"/>
                <w:lang w:val="en-GB"/>
              </w:rPr>
              <w:t xml:space="preserve"> </w:t>
            </w:r>
          </w:p>
        </w:tc>
        <w:tc>
          <w:tcPr>
            <w:tcW w:w="1135" w:type="dxa"/>
            <w:tcBorders>
              <w:top w:val="single" w:sz="4" w:space="0" w:color="auto"/>
              <w:left w:val="nil"/>
              <w:bottom w:val="single" w:sz="4" w:space="0" w:color="auto"/>
              <w:right w:val="nil"/>
            </w:tcBorders>
          </w:tcPr>
          <w:p w14:paraId="441EA1BA" w14:textId="36A41FDB" w:rsidR="00FC2B60" w:rsidRPr="00186190" w:rsidRDefault="00000000">
            <w:pPr>
              <w:pStyle w:val="P68B1DB1-Normale4"/>
              <w:spacing w:line="240" w:lineRule="auto"/>
              <w:rPr>
                <w:sz w:val="20"/>
                <w:lang w:val="en-GB"/>
              </w:rPr>
            </w:pPr>
            <w:r w:rsidRPr="00186190">
              <w:rPr>
                <w:sz w:val="20"/>
                <w:lang w:val="en-GB"/>
              </w:rPr>
              <w:t>0.5</w:t>
            </w:r>
          </w:p>
        </w:tc>
      </w:tr>
      <w:tr w:rsidR="00FC2B60" w:rsidRPr="00186190" w14:paraId="5312BAE4" w14:textId="77777777">
        <w:tc>
          <w:tcPr>
            <w:tcW w:w="5555" w:type="dxa"/>
            <w:tcBorders>
              <w:top w:val="single" w:sz="4" w:space="0" w:color="auto"/>
              <w:left w:val="nil"/>
              <w:bottom w:val="single" w:sz="4" w:space="0" w:color="auto"/>
              <w:right w:val="nil"/>
            </w:tcBorders>
          </w:tcPr>
          <w:p w14:paraId="178C532C" w14:textId="3C9A8BA9" w:rsidR="00FC2B60" w:rsidRPr="00186190" w:rsidRDefault="00000000">
            <w:pPr>
              <w:pStyle w:val="P68B1DB1-Normale6"/>
              <w:spacing w:line="240" w:lineRule="auto"/>
              <w:rPr>
                <w:sz w:val="20"/>
                <w:lang w:val="en-GB"/>
              </w:rPr>
            </w:pPr>
            <w:r w:rsidRPr="00186190">
              <w:rPr>
                <w:sz w:val="20"/>
                <w:lang w:val="en-GB"/>
              </w:rPr>
              <w:t>Tutorials</w:t>
            </w:r>
          </w:p>
        </w:tc>
        <w:tc>
          <w:tcPr>
            <w:tcW w:w="1135" w:type="dxa"/>
            <w:tcBorders>
              <w:top w:val="single" w:sz="4" w:space="0" w:color="auto"/>
              <w:left w:val="nil"/>
              <w:bottom w:val="single" w:sz="4" w:space="0" w:color="auto"/>
              <w:right w:val="nil"/>
            </w:tcBorders>
          </w:tcPr>
          <w:p w14:paraId="7D5F7B86" w14:textId="77777777" w:rsidR="00FC2B60" w:rsidRPr="00186190" w:rsidRDefault="00FC2B60">
            <w:pPr>
              <w:spacing w:line="240" w:lineRule="auto"/>
              <w:rPr>
                <w:rFonts w:ascii="Times New Roman" w:hAnsi="Times New Roman"/>
                <w:lang w:val="en-GB"/>
              </w:rPr>
            </w:pPr>
          </w:p>
        </w:tc>
      </w:tr>
      <w:tr w:rsidR="00FC2B60" w:rsidRPr="00186190" w14:paraId="2AC74F77" w14:textId="77777777">
        <w:tc>
          <w:tcPr>
            <w:tcW w:w="5555" w:type="dxa"/>
            <w:tcBorders>
              <w:top w:val="single" w:sz="4" w:space="0" w:color="auto"/>
              <w:left w:val="nil"/>
              <w:bottom w:val="single" w:sz="4" w:space="0" w:color="auto"/>
              <w:right w:val="nil"/>
            </w:tcBorders>
          </w:tcPr>
          <w:p w14:paraId="4768E2FE" w14:textId="3E044DBD" w:rsidR="00FC2B60" w:rsidRPr="00186190" w:rsidRDefault="00000000">
            <w:pPr>
              <w:pStyle w:val="P68B1DB1-Normale4"/>
              <w:spacing w:line="240" w:lineRule="auto"/>
              <w:rPr>
                <w:smallCaps/>
                <w:sz w:val="20"/>
                <w:lang w:val="en-GB"/>
              </w:rPr>
            </w:pPr>
            <w:r w:rsidRPr="00186190">
              <w:rPr>
                <w:sz w:val="20"/>
                <w:lang w:val="en-GB"/>
              </w:rPr>
              <w:t>Laboratory activities</w:t>
            </w:r>
            <w:r w:rsidRPr="00186190">
              <w:rPr>
                <w:smallCaps/>
                <w:sz w:val="20"/>
                <w:lang w:val="en-GB"/>
              </w:rPr>
              <w:t xml:space="preserve"> on </w:t>
            </w:r>
            <w:r w:rsidRPr="00186190">
              <w:rPr>
                <w:sz w:val="20"/>
                <w:lang w:val="en-GB"/>
              </w:rPr>
              <w:t>food challenge tests and factors that modulate survival and growth</w:t>
            </w:r>
            <w:r w:rsidR="00F11D36">
              <w:rPr>
                <w:sz w:val="20"/>
                <w:lang w:val="en-GB"/>
              </w:rPr>
              <w:t>.</w:t>
            </w:r>
          </w:p>
        </w:tc>
        <w:tc>
          <w:tcPr>
            <w:tcW w:w="1135" w:type="dxa"/>
            <w:tcBorders>
              <w:top w:val="single" w:sz="4" w:space="0" w:color="auto"/>
              <w:left w:val="nil"/>
              <w:bottom w:val="single" w:sz="4" w:space="0" w:color="auto"/>
              <w:right w:val="nil"/>
            </w:tcBorders>
            <w:hideMark/>
          </w:tcPr>
          <w:p w14:paraId="1DD90CA8" w14:textId="77777777" w:rsidR="00FC2B60" w:rsidRPr="00186190" w:rsidRDefault="00000000">
            <w:pPr>
              <w:pStyle w:val="P68B1DB1-Normale4"/>
              <w:spacing w:line="240" w:lineRule="auto"/>
              <w:rPr>
                <w:sz w:val="20"/>
                <w:lang w:val="en-GB"/>
              </w:rPr>
            </w:pPr>
            <w:r w:rsidRPr="00186190">
              <w:rPr>
                <w:sz w:val="20"/>
                <w:lang w:val="en-GB"/>
              </w:rPr>
              <w:t>1.0</w:t>
            </w:r>
          </w:p>
        </w:tc>
      </w:tr>
    </w:tbl>
    <w:p w14:paraId="3B40582E" w14:textId="77777777" w:rsidR="00FC2B60" w:rsidRPr="00186190" w:rsidRDefault="00000000">
      <w:pPr>
        <w:pStyle w:val="P68B1DB1-Normale3"/>
        <w:keepNext/>
        <w:spacing w:before="240" w:after="120" w:line="240" w:lineRule="auto"/>
        <w:rPr>
          <w:sz w:val="20"/>
          <w:lang w:val="en-GB"/>
        </w:rPr>
      </w:pPr>
      <w:r w:rsidRPr="00186190">
        <w:rPr>
          <w:sz w:val="20"/>
          <w:lang w:val="en-GB"/>
        </w:rPr>
        <w:t>READING LIST</w:t>
      </w:r>
    </w:p>
    <w:p w14:paraId="2E83AF49" w14:textId="46270FFF" w:rsidR="00FC2B60" w:rsidRPr="00186190" w:rsidRDefault="00000000">
      <w:pPr>
        <w:pStyle w:val="P68B1DB1-Normale4"/>
        <w:spacing w:line="240" w:lineRule="auto"/>
        <w:ind w:left="284" w:hanging="284"/>
        <w:rPr>
          <w:sz w:val="20"/>
          <w:lang w:val="en-GB"/>
        </w:rPr>
      </w:pPr>
      <w:r w:rsidRPr="00186190">
        <w:rPr>
          <w:smallCaps/>
          <w:sz w:val="20"/>
          <w:lang w:val="en-GB"/>
        </w:rPr>
        <w:t xml:space="preserve">M.P. Doyle, F. Diez-Gonzales, C. Hill </w:t>
      </w:r>
      <w:r w:rsidRPr="00186190">
        <w:rPr>
          <w:i/>
          <w:sz w:val="20"/>
          <w:lang w:val="en-GB"/>
        </w:rPr>
        <w:t>Food microbiology: fundamentals and frontiers,</w:t>
      </w:r>
      <w:r w:rsidRPr="00186190">
        <w:rPr>
          <w:sz w:val="20"/>
          <w:lang w:val="en-GB"/>
        </w:rPr>
        <w:t xml:space="preserve"> 5th ed. American Society for Microbiology, 2019</w:t>
      </w:r>
      <w:r w:rsidR="00F11D36">
        <w:rPr>
          <w:sz w:val="20"/>
          <w:lang w:val="en-GB"/>
        </w:rPr>
        <w:t>.</w:t>
      </w:r>
    </w:p>
    <w:p w14:paraId="0CE83D71" w14:textId="639D7649" w:rsidR="00FC2B60" w:rsidRPr="00186190" w:rsidRDefault="00000000">
      <w:pPr>
        <w:pStyle w:val="P68B1DB1-Testo27"/>
        <w:spacing w:line="240" w:lineRule="auto"/>
        <w:ind w:firstLine="0"/>
        <w:rPr>
          <w:i/>
          <w:sz w:val="20"/>
          <w:lang w:val="en-GB"/>
        </w:rPr>
      </w:pPr>
      <w:r w:rsidRPr="00186190">
        <w:rPr>
          <w:smallCaps/>
          <w:sz w:val="20"/>
          <w:lang w:val="en-GB"/>
        </w:rPr>
        <w:t xml:space="preserve">S.J. Forsythe </w:t>
      </w:r>
      <w:r w:rsidRPr="00186190">
        <w:rPr>
          <w:i/>
          <w:sz w:val="20"/>
          <w:lang w:val="en-GB"/>
        </w:rPr>
        <w:t xml:space="preserve">The Microbiology of Safe Food </w:t>
      </w:r>
      <w:r w:rsidRPr="00186190">
        <w:rPr>
          <w:sz w:val="20"/>
          <w:lang w:val="en-GB"/>
        </w:rPr>
        <w:t>3rd ed. Wiley, 2019</w:t>
      </w:r>
      <w:r w:rsidR="00F11D36">
        <w:rPr>
          <w:sz w:val="20"/>
          <w:lang w:val="en-GB"/>
        </w:rPr>
        <w:t>.</w:t>
      </w:r>
      <w:r w:rsidRPr="00186190">
        <w:rPr>
          <w:sz w:val="20"/>
          <w:lang w:val="en-GB"/>
        </w:rPr>
        <w:t xml:space="preserve"> </w:t>
      </w:r>
    </w:p>
    <w:p w14:paraId="4489DB30" w14:textId="2ACFC7C1" w:rsidR="00FC2B60" w:rsidRPr="00186190" w:rsidRDefault="00000000">
      <w:pPr>
        <w:pStyle w:val="P68B1DB1-Normale4"/>
        <w:spacing w:before="240" w:after="120" w:line="240" w:lineRule="auto"/>
        <w:rPr>
          <w:sz w:val="20"/>
          <w:lang w:val="en-GB"/>
        </w:rPr>
      </w:pPr>
      <w:r w:rsidRPr="00186190">
        <w:rPr>
          <w:sz w:val="20"/>
          <w:lang w:val="en-GB"/>
        </w:rPr>
        <w:t>Reading lists on specific topics, websites of interest in food microbiology and microbiological safety, E-books and *.pdf documents will be indicated during the course</w:t>
      </w:r>
      <w:r w:rsidR="00F11D36">
        <w:rPr>
          <w:sz w:val="20"/>
          <w:lang w:val="en-GB"/>
        </w:rPr>
        <w:t>.</w:t>
      </w:r>
      <w:r w:rsidRPr="00186190">
        <w:rPr>
          <w:sz w:val="20"/>
          <w:lang w:val="en-GB"/>
        </w:rPr>
        <w:t xml:space="preserve"> </w:t>
      </w:r>
    </w:p>
    <w:p w14:paraId="77AA90AF" w14:textId="77777777" w:rsidR="00FC2B60" w:rsidRPr="00186190" w:rsidRDefault="00000000">
      <w:pPr>
        <w:pStyle w:val="P68B1DB1-Normale3"/>
        <w:spacing w:before="240" w:after="120" w:line="240" w:lineRule="auto"/>
        <w:rPr>
          <w:sz w:val="20"/>
          <w:lang w:val="en-GB"/>
        </w:rPr>
      </w:pPr>
      <w:r w:rsidRPr="00186190">
        <w:rPr>
          <w:sz w:val="20"/>
          <w:lang w:val="en-GB"/>
        </w:rPr>
        <w:t>TEACHING METHOD</w:t>
      </w:r>
    </w:p>
    <w:p w14:paraId="657D7804" w14:textId="77777777" w:rsidR="00FC2B60" w:rsidRPr="00186190" w:rsidRDefault="00000000">
      <w:pPr>
        <w:pStyle w:val="P68B1DB1-Normale8"/>
        <w:spacing w:line="240" w:lineRule="auto"/>
        <w:rPr>
          <w:sz w:val="20"/>
          <w:lang w:val="en-GB"/>
        </w:rPr>
      </w:pPr>
      <w:r w:rsidRPr="00186190">
        <w:rPr>
          <w:sz w:val="20"/>
          <w:lang w:val="en-GB"/>
        </w:rPr>
        <w:t xml:space="preserve">The course is divided into: </w:t>
      </w:r>
    </w:p>
    <w:p w14:paraId="5AFA24BC" w14:textId="2CD597A4" w:rsidR="00FC2B60" w:rsidRPr="00186190" w:rsidRDefault="00000000">
      <w:pPr>
        <w:pStyle w:val="ListParagraph"/>
        <w:numPr>
          <w:ilvl w:val="0"/>
          <w:numId w:val="2"/>
        </w:numPr>
        <w:rPr>
          <w:lang w:val="en-GB"/>
        </w:rPr>
      </w:pPr>
      <w:r w:rsidRPr="00186190">
        <w:rPr>
          <w:lang w:val="en-GB"/>
        </w:rPr>
        <w:t>frontal lectures. In order to maximise the effectiveness of the course, other figures with specific company and/or supply chain experience may participate at certain points alongside the lecturer;</w:t>
      </w:r>
    </w:p>
    <w:p w14:paraId="49602EAA" w14:textId="27A9C789" w:rsidR="00FC2B60" w:rsidRPr="00186190" w:rsidRDefault="00000000">
      <w:pPr>
        <w:pStyle w:val="ListParagraph"/>
        <w:numPr>
          <w:ilvl w:val="0"/>
          <w:numId w:val="2"/>
        </w:numPr>
        <w:rPr>
          <w:lang w:val="en-GB"/>
        </w:rPr>
      </w:pPr>
      <w:r w:rsidRPr="00186190">
        <w:rPr>
          <w:lang w:val="en-GB"/>
        </w:rPr>
        <w:t>case studies and simulations involving the application of risk analysis and mitigation strategies will be undertaken by students individually and in study groups;</w:t>
      </w:r>
    </w:p>
    <w:p w14:paraId="09EB1EF4" w14:textId="002F0CE9" w:rsidR="00FC2B60" w:rsidRPr="00186190" w:rsidRDefault="00000000">
      <w:pPr>
        <w:pStyle w:val="ListParagraph"/>
        <w:numPr>
          <w:ilvl w:val="0"/>
          <w:numId w:val="2"/>
        </w:numPr>
        <w:rPr>
          <w:lang w:val="en-GB"/>
        </w:rPr>
      </w:pPr>
      <w:r w:rsidRPr="00186190">
        <w:rPr>
          <w:lang w:val="en-GB"/>
        </w:rPr>
        <w:t>generative artificial intelligence systems will be used for the analysis of scientific information related to food microbiology</w:t>
      </w:r>
      <w:r w:rsidR="00F11D36">
        <w:rPr>
          <w:lang w:val="en-GB"/>
        </w:rPr>
        <w:t>;</w:t>
      </w:r>
      <w:r w:rsidRPr="00186190">
        <w:rPr>
          <w:lang w:val="en-GB"/>
        </w:rPr>
        <w:t xml:space="preserve"> </w:t>
      </w:r>
    </w:p>
    <w:p w14:paraId="1C0F3F66" w14:textId="7E6B4399" w:rsidR="00FC2B60" w:rsidRPr="00186190" w:rsidRDefault="00000000">
      <w:pPr>
        <w:pStyle w:val="ListParagraph"/>
        <w:numPr>
          <w:ilvl w:val="0"/>
          <w:numId w:val="2"/>
        </w:numPr>
        <w:rPr>
          <w:lang w:val="en-GB"/>
        </w:rPr>
      </w:pPr>
      <w:r w:rsidRPr="00186190">
        <w:rPr>
          <w:lang w:val="en-GB"/>
        </w:rPr>
        <w:t>experimental activities in the laboratory.</w:t>
      </w:r>
    </w:p>
    <w:p w14:paraId="6C7F8D72" w14:textId="77777777" w:rsidR="00FC2B60" w:rsidRPr="00186190" w:rsidRDefault="00FC2B60">
      <w:pPr>
        <w:tabs>
          <w:tab w:val="clear" w:pos="284"/>
          <w:tab w:val="left" w:pos="426"/>
        </w:tabs>
        <w:spacing w:line="240" w:lineRule="auto"/>
        <w:ind w:left="720"/>
        <w:rPr>
          <w:rFonts w:ascii="Times New Roman" w:hAnsi="Times New Roman"/>
          <w:color w:val="000000" w:themeColor="text1"/>
          <w:lang w:val="en-GB"/>
        </w:rPr>
      </w:pPr>
    </w:p>
    <w:p w14:paraId="172FF837" w14:textId="77777777" w:rsidR="00FC2B60" w:rsidRPr="00186190" w:rsidRDefault="00000000">
      <w:pPr>
        <w:pStyle w:val="P68B1DB1-Normale3"/>
        <w:spacing w:before="240" w:after="120" w:line="240" w:lineRule="auto"/>
        <w:rPr>
          <w:sz w:val="20"/>
          <w:lang w:val="en-GB"/>
        </w:rPr>
      </w:pPr>
      <w:r w:rsidRPr="00186190">
        <w:rPr>
          <w:sz w:val="20"/>
          <w:lang w:val="en-GB"/>
        </w:rPr>
        <w:t>ASSESSMENT METHOD AND CRITERIA</w:t>
      </w:r>
    </w:p>
    <w:p w14:paraId="2652191E" w14:textId="77777777" w:rsidR="00FC2B60" w:rsidRPr="00186190" w:rsidRDefault="00000000">
      <w:pPr>
        <w:pStyle w:val="P68B1DB1-Normale4"/>
        <w:spacing w:before="120" w:line="240" w:lineRule="auto"/>
        <w:rPr>
          <w:sz w:val="20"/>
          <w:lang w:val="en-GB"/>
        </w:rPr>
      </w:pPr>
      <w:r w:rsidRPr="00186190">
        <w:rPr>
          <w:sz w:val="20"/>
          <w:lang w:val="en-GB"/>
        </w:rPr>
        <w:t xml:space="preserve">A laboratory test, discussion of case studies and oral examination. In the laboratory test, students will have to compile the laboratory book on the activities carried out and demonstrate that they have acquired the bases for the application of microbiological procedures to the food sector. In the case studies, carried out in groups, the ability of the individual student in presenting and critically analysing the </w:t>
      </w:r>
      <w:r w:rsidRPr="00186190">
        <w:rPr>
          <w:sz w:val="20"/>
          <w:lang w:val="en-GB"/>
        </w:rPr>
        <w:lastRenderedPageBreak/>
        <w:t>subject addressed will be assessed. The oral exam is aimed at assessing the student's theoretical knowledge and reasoning skills. The final mark is based on the weighted average of the marks obtained for the laboratory activities, the classroom discussion of case studies, and the oral exam questions.</w:t>
      </w:r>
    </w:p>
    <w:p w14:paraId="369A6426" w14:textId="77777777" w:rsidR="00FC2B60" w:rsidRPr="00186190" w:rsidRDefault="00000000">
      <w:pPr>
        <w:pStyle w:val="P68B1DB1-Normale9"/>
        <w:spacing w:before="240" w:after="120"/>
        <w:rPr>
          <w:sz w:val="20"/>
          <w:lang w:val="en-GB"/>
        </w:rPr>
      </w:pPr>
      <w:r w:rsidRPr="00186190">
        <w:rPr>
          <w:sz w:val="20"/>
          <w:lang w:val="en-GB"/>
        </w:rPr>
        <w:t>NOTES AND PREREQUISITES</w:t>
      </w:r>
    </w:p>
    <w:p w14:paraId="5C00CDE2" w14:textId="056731D3" w:rsidR="00FC2B60" w:rsidRPr="00186190" w:rsidRDefault="00000000">
      <w:pPr>
        <w:pStyle w:val="P68B1DB1-Normale4"/>
        <w:spacing w:before="240" w:after="120"/>
        <w:rPr>
          <w:sz w:val="20"/>
          <w:lang w:val="en-GB"/>
        </w:rPr>
      </w:pPr>
      <w:r w:rsidRPr="00186190">
        <w:rPr>
          <w:sz w:val="20"/>
          <w:lang w:val="en-GB"/>
        </w:rPr>
        <w:t xml:space="preserve">Attendance at lectures, although not compulsory, is strongly recommended. Students are required to participate in the laboratory activities and study groups (if a student is unable to participate, it will be necessary to agree any alternative activities with the lecturer). </w:t>
      </w:r>
    </w:p>
    <w:p w14:paraId="189D8922" w14:textId="77777777" w:rsidR="00EA6C52" w:rsidRPr="00186190" w:rsidRDefault="00EA6C52" w:rsidP="00EA6C52">
      <w:pPr>
        <w:pStyle w:val="Testo2"/>
        <w:rPr>
          <w:sz w:val="20"/>
          <w:lang w:val="en-GB"/>
        </w:rPr>
      </w:pPr>
      <w:r w:rsidRPr="00186190">
        <w:rPr>
          <w:sz w:val="20"/>
          <w:lang w:val="en-GB"/>
        </w:rPr>
        <w:t>Information on office hours available on the teacher's personal page at http://docenti.unicatt.it/.</w:t>
      </w:r>
    </w:p>
    <w:p w14:paraId="333EE4F4" w14:textId="6BAE90A9" w:rsidR="00FC2B60" w:rsidRPr="00186190" w:rsidRDefault="00FC2B60">
      <w:pPr>
        <w:spacing w:line="240" w:lineRule="auto"/>
        <w:rPr>
          <w:lang w:val="en-GB"/>
        </w:rPr>
      </w:pPr>
    </w:p>
    <w:p w14:paraId="22F08CE5" w14:textId="0159FD72" w:rsidR="00FC2B60" w:rsidRPr="00186190" w:rsidRDefault="00FC2B60">
      <w:pPr>
        <w:spacing w:line="240" w:lineRule="auto"/>
        <w:rPr>
          <w:lang w:val="en-GB"/>
        </w:rPr>
      </w:pPr>
    </w:p>
    <w:p w14:paraId="745CA021" w14:textId="20780827" w:rsidR="00FC2B60" w:rsidRPr="00186190" w:rsidRDefault="00FC2B60">
      <w:pPr>
        <w:spacing w:line="240" w:lineRule="auto"/>
        <w:rPr>
          <w:lang w:val="en-GB"/>
        </w:rPr>
      </w:pPr>
    </w:p>
    <w:p w14:paraId="37DD906B" w14:textId="49FA20F4" w:rsidR="00FC2B60" w:rsidRPr="00186190" w:rsidRDefault="00FC2B60">
      <w:pPr>
        <w:spacing w:line="240" w:lineRule="auto"/>
        <w:rPr>
          <w:lang w:val="en-GB"/>
        </w:rPr>
      </w:pPr>
    </w:p>
    <w:p w14:paraId="1BCF0071" w14:textId="6F50B3AF" w:rsidR="00FC2B60" w:rsidRPr="00186190" w:rsidRDefault="00FC2B60">
      <w:pPr>
        <w:spacing w:line="240" w:lineRule="auto"/>
        <w:rPr>
          <w:lang w:val="en-GB"/>
        </w:rPr>
      </w:pPr>
    </w:p>
    <w:p w14:paraId="060A291A" w14:textId="4ED78CE8" w:rsidR="00FC2B60" w:rsidRPr="00186190" w:rsidRDefault="00FC2B60">
      <w:pPr>
        <w:spacing w:line="240" w:lineRule="auto"/>
        <w:rPr>
          <w:lang w:val="en-GB"/>
        </w:rPr>
      </w:pPr>
    </w:p>
    <w:p w14:paraId="3E457E8B" w14:textId="0B14614F" w:rsidR="00FC2B60" w:rsidRPr="00186190" w:rsidRDefault="00FC2B60">
      <w:pPr>
        <w:spacing w:line="240" w:lineRule="auto"/>
        <w:rPr>
          <w:lang w:val="en-GB"/>
        </w:rPr>
      </w:pPr>
    </w:p>
    <w:p w14:paraId="27E5B9C4" w14:textId="3314522C" w:rsidR="00FC2B60" w:rsidRPr="00186190" w:rsidRDefault="00FC2B60">
      <w:pPr>
        <w:spacing w:line="240" w:lineRule="auto"/>
        <w:rPr>
          <w:lang w:val="en-GB"/>
        </w:rPr>
      </w:pPr>
    </w:p>
    <w:p w14:paraId="2DA11DC7" w14:textId="19003330" w:rsidR="00FC2B60" w:rsidRPr="00186190" w:rsidRDefault="00FC2B60">
      <w:pPr>
        <w:spacing w:line="240" w:lineRule="auto"/>
        <w:rPr>
          <w:lang w:val="en-GB"/>
        </w:rPr>
      </w:pPr>
    </w:p>
    <w:p w14:paraId="37B86E63" w14:textId="396F9D6A" w:rsidR="00FC2B60" w:rsidRPr="00186190" w:rsidRDefault="00FC2B60">
      <w:pPr>
        <w:spacing w:line="240" w:lineRule="auto"/>
        <w:rPr>
          <w:lang w:val="en-GB"/>
        </w:rPr>
      </w:pPr>
    </w:p>
    <w:p w14:paraId="09F6AFFF" w14:textId="57CA7DDC" w:rsidR="00FC2B60" w:rsidRPr="00186190" w:rsidRDefault="00FC2B60">
      <w:pPr>
        <w:spacing w:line="240" w:lineRule="auto"/>
        <w:rPr>
          <w:lang w:val="en-GB"/>
        </w:rPr>
      </w:pPr>
    </w:p>
    <w:p w14:paraId="0E4B51EB" w14:textId="7A92548C" w:rsidR="00FC2B60" w:rsidRPr="00186190" w:rsidRDefault="00FC2B60">
      <w:pPr>
        <w:spacing w:line="240" w:lineRule="auto"/>
        <w:rPr>
          <w:lang w:val="en-GB"/>
        </w:rPr>
      </w:pPr>
    </w:p>
    <w:p w14:paraId="21D0F98E" w14:textId="77777777" w:rsidR="00FC2B60" w:rsidRPr="00186190" w:rsidRDefault="00FC2B60">
      <w:pPr>
        <w:spacing w:line="240" w:lineRule="auto"/>
        <w:rPr>
          <w:lang w:val="en-GB"/>
        </w:rPr>
      </w:pPr>
    </w:p>
    <w:sectPr w:rsidR="00FC2B60" w:rsidRPr="0018619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D9B"/>
    <w:multiLevelType w:val="hybridMultilevel"/>
    <w:tmpl w:val="972E5EA0"/>
    <w:lvl w:ilvl="0" w:tplc="5E02F5C2">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C4D9C"/>
    <w:multiLevelType w:val="hybridMultilevel"/>
    <w:tmpl w:val="59B29134"/>
    <w:lvl w:ilvl="0" w:tplc="DF845F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abstractNum w:abstractNumId="3" w15:restartNumberingAfterBreak="0">
    <w:nsid w:val="5E15265E"/>
    <w:multiLevelType w:val="hybridMultilevel"/>
    <w:tmpl w:val="F91062FA"/>
    <w:lvl w:ilvl="0" w:tplc="AEE86E68">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0994114">
    <w:abstractNumId w:val="3"/>
  </w:num>
  <w:num w:numId="2" w16cid:durableId="1680038266">
    <w:abstractNumId w:val="0"/>
  </w:num>
  <w:num w:numId="3" w16cid:durableId="1208761397">
    <w:abstractNumId w:val="2"/>
  </w:num>
  <w:num w:numId="4" w16cid:durableId="1838761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A9"/>
    <w:rsid w:val="00017880"/>
    <w:rsid w:val="00026B21"/>
    <w:rsid w:val="000843AD"/>
    <w:rsid w:val="0014627C"/>
    <w:rsid w:val="00186190"/>
    <w:rsid w:val="00233CBB"/>
    <w:rsid w:val="002A13BE"/>
    <w:rsid w:val="00327696"/>
    <w:rsid w:val="003E5652"/>
    <w:rsid w:val="004A096A"/>
    <w:rsid w:val="004B30EA"/>
    <w:rsid w:val="004D5E98"/>
    <w:rsid w:val="0053463C"/>
    <w:rsid w:val="005812A9"/>
    <w:rsid w:val="00651456"/>
    <w:rsid w:val="00671EBB"/>
    <w:rsid w:val="006A6E22"/>
    <w:rsid w:val="006B2E2E"/>
    <w:rsid w:val="006D6B9C"/>
    <w:rsid w:val="006E54C9"/>
    <w:rsid w:val="007433CE"/>
    <w:rsid w:val="00797A52"/>
    <w:rsid w:val="00813A57"/>
    <w:rsid w:val="00843290"/>
    <w:rsid w:val="00872F0E"/>
    <w:rsid w:val="008B0839"/>
    <w:rsid w:val="009F5739"/>
    <w:rsid w:val="00A168A6"/>
    <w:rsid w:val="00A31B78"/>
    <w:rsid w:val="00A45A23"/>
    <w:rsid w:val="00B01DA9"/>
    <w:rsid w:val="00B53F88"/>
    <w:rsid w:val="00B707D3"/>
    <w:rsid w:val="00B852D7"/>
    <w:rsid w:val="00B931C8"/>
    <w:rsid w:val="00C06B24"/>
    <w:rsid w:val="00C37493"/>
    <w:rsid w:val="00C53A3E"/>
    <w:rsid w:val="00C974A2"/>
    <w:rsid w:val="00CE7042"/>
    <w:rsid w:val="00D32102"/>
    <w:rsid w:val="00EA6C52"/>
    <w:rsid w:val="00EE1F9A"/>
    <w:rsid w:val="00F11D36"/>
    <w:rsid w:val="00FC2B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20AC1"/>
  <w15:docId w15:val="{7BE61B63-3CA9-0E48-8684-9DBE746C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ZA"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1DA9"/>
    <w:pPr>
      <w:tabs>
        <w:tab w:val="left" w:pos="284"/>
      </w:tabs>
      <w:spacing w:after="0" w:line="240" w:lineRule="exact"/>
      <w:jc w:val="both"/>
    </w:pPr>
    <w:rPr>
      <w:rFonts w:ascii="Times" w:eastAsia="Times New Roman" w:hAnsi="Times" w:cs="Times New Roman"/>
      <w:sz w:val="20"/>
    </w:rPr>
  </w:style>
  <w:style w:type="paragraph" w:styleId="Heading1">
    <w:name w:val="heading 1"/>
    <w:next w:val="Heading2"/>
    <w:link w:val="Heading1Char"/>
    <w:qFormat/>
    <w:rsid w:val="00B01DA9"/>
    <w:pPr>
      <w:spacing w:before="480" w:after="0" w:line="240" w:lineRule="exact"/>
      <w:outlineLvl w:val="0"/>
    </w:pPr>
    <w:rPr>
      <w:rFonts w:ascii="Times" w:eastAsia="Times New Roman" w:hAnsi="Times" w:cs="Times New Roman"/>
      <w:b/>
      <w:sz w:val="20"/>
    </w:rPr>
  </w:style>
  <w:style w:type="paragraph" w:styleId="Heading2">
    <w:name w:val="heading 2"/>
    <w:next w:val="Heading3"/>
    <w:link w:val="Heading2Char"/>
    <w:qFormat/>
    <w:rsid w:val="00B01DA9"/>
    <w:pPr>
      <w:spacing w:after="0" w:line="240" w:lineRule="exact"/>
      <w:outlineLvl w:val="1"/>
    </w:pPr>
    <w:rPr>
      <w:rFonts w:ascii="Times" w:eastAsia="Times New Roman" w:hAnsi="Times" w:cs="Times New Roman"/>
      <w:smallCaps/>
      <w:sz w:val="18"/>
    </w:rPr>
  </w:style>
  <w:style w:type="paragraph" w:styleId="Heading3">
    <w:name w:val="heading 3"/>
    <w:basedOn w:val="Normal"/>
    <w:next w:val="Normal"/>
    <w:link w:val="Heading3Char"/>
    <w:uiPriority w:val="9"/>
    <w:semiHidden/>
    <w:unhideWhenUsed/>
    <w:qFormat/>
    <w:rsid w:val="00B01DA9"/>
    <w:pPr>
      <w:keepNext/>
      <w:keepLines/>
      <w:spacing w:before="200"/>
      <w:outlineLvl w:val="2"/>
    </w:pPr>
    <w:rPr>
      <w:rFonts w:asciiTheme="majorHAnsi" w:eastAsiaTheme="majorEastAsia" w:hAnsiTheme="majorHAnsi" w:cstheme="majorBidi"/>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DA9"/>
    <w:rPr>
      <w:rFonts w:ascii="Times" w:eastAsia="Times New Roman" w:hAnsi="Times" w:cs="Times New Roman"/>
      <w:b/>
      <w:sz w:val="20"/>
    </w:rPr>
  </w:style>
  <w:style w:type="character" w:customStyle="1" w:styleId="Heading2Char">
    <w:name w:val="Heading 2 Char"/>
    <w:basedOn w:val="DefaultParagraphFont"/>
    <w:link w:val="Heading2"/>
    <w:rsid w:val="00B01DA9"/>
    <w:rPr>
      <w:rFonts w:ascii="Times" w:eastAsia="Times New Roman" w:hAnsi="Times" w:cs="Times New Roman"/>
      <w:smallCaps/>
      <w:sz w:val="18"/>
    </w:rPr>
  </w:style>
  <w:style w:type="paragraph" w:customStyle="1" w:styleId="Testo2">
    <w:name w:val="Testo 2"/>
    <w:link w:val="Testo2Carattere"/>
    <w:uiPriority w:val="99"/>
    <w:qFormat/>
    <w:rsid w:val="00B01DA9"/>
    <w:pPr>
      <w:spacing w:after="0" w:line="220" w:lineRule="exact"/>
      <w:ind w:firstLine="284"/>
      <w:jc w:val="both"/>
    </w:pPr>
    <w:rPr>
      <w:rFonts w:ascii="Times" w:eastAsia="Times New Roman" w:hAnsi="Times" w:cs="Times New Roman"/>
      <w:sz w:val="18"/>
    </w:rPr>
  </w:style>
  <w:style w:type="character" w:customStyle="1" w:styleId="Heading3Char">
    <w:name w:val="Heading 3 Char"/>
    <w:basedOn w:val="DefaultParagraphFont"/>
    <w:link w:val="Heading3"/>
    <w:uiPriority w:val="9"/>
    <w:semiHidden/>
    <w:rsid w:val="00B01DA9"/>
    <w:rPr>
      <w:rFonts w:asciiTheme="majorHAnsi" w:eastAsiaTheme="majorEastAsia" w:hAnsiTheme="majorHAnsi" w:cstheme="majorBidi"/>
      <w:b/>
      <w:color w:val="4F81BD" w:themeColor="accent1"/>
      <w:sz w:val="20"/>
    </w:rPr>
  </w:style>
  <w:style w:type="paragraph" w:styleId="ListParagraph">
    <w:name w:val="List Paragraph"/>
    <w:basedOn w:val="Normal"/>
    <w:uiPriority w:val="34"/>
    <w:qFormat/>
    <w:rsid w:val="00C06B24"/>
    <w:pPr>
      <w:ind w:left="720"/>
      <w:contextualSpacing/>
    </w:pPr>
  </w:style>
  <w:style w:type="paragraph" w:customStyle="1" w:styleId="P68B1DB1-Titolo11">
    <w:name w:val="P68B1DB1-Titolo11"/>
    <w:basedOn w:val="Heading1"/>
    <w:rPr>
      <w:rFonts w:ascii="Times New Roman" w:hAnsi="Times New Roman"/>
      <w:sz w:val="22"/>
    </w:rPr>
  </w:style>
  <w:style w:type="paragraph" w:customStyle="1" w:styleId="P68B1DB1-Titolo22">
    <w:name w:val="P68B1DB1-Titolo22"/>
    <w:basedOn w:val="Heading2"/>
    <w:rPr>
      <w:rFonts w:ascii="Times New Roman" w:hAnsi="Times New Roman"/>
      <w:sz w:val="22"/>
    </w:rPr>
  </w:style>
  <w:style w:type="paragraph" w:customStyle="1" w:styleId="P68B1DB1-Normale3">
    <w:name w:val="P68B1DB1-Normale3"/>
    <w:basedOn w:val="Normal"/>
    <w:rPr>
      <w:rFonts w:ascii="Times New Roman" w:hAnsi="Times New Roman"/>
      <w:b/>
      <w:i/>
      <w:sz w:val="22"/>
    </w:rPr>
  </w:style>
  <w:style w:type="paragraph" w:customStyle="1" w:styleId="P68B1DB1-Normale4">
    <w:name w:val="P68B1DB1-Normale4"/>
    <w:basedOn w:val="Normal"/>
    <w:rPr>
      <w:rFonts w:ascii="Times New Roman" w:hAnsi="Times New Roman"/>
      <w:sz w:val="22"/>
    </w:rPr>
  </w:style>
  <w:style w:type="paragraph" w:customStyle="1" w:styleId="P68B1DB1-Paragrafoelenco5">
    <w:name w:val="P68B1DB1-Paragrafoelenco5"/>
    <w:basedOn w:val="ListParagraph"/>
    <w:rPr>
      <w:rFonts w:ascii="Times New Roman" w:hAnsi="Times New Roman"/>
      <w:sz w:val="22"/>
    </w:rPr>
  </w:style>
  <w:style w:type="paragraph" w:customStyle="1" w:styleId="P68B1DB1-Normale6">
    <w:name w:val="P68B1DB1-Normale6"/>
    <w:basedOn w:val="Normal"/>
    <w:rPr>
      <w:rFonts w:ascii="Times New Roman" w:hAnsi="Times New Roman"/>
      <w:b/>
      <w:sz w:val="22"/>
    </w:rPr>
  </w:style>
  <w:style w:type="paragraph" w:customStyle="1" w:styleId="P68B1DB1-Testo27">
    <w:name w:val="P68B1DB1-Testo27"/>
    <w:basedOn w:val="Testo2"/>
    <w:rPr>
      <w:rFonts w:ascii="Times New Roman" w:hAnsi="Times New Roman"/>
      <w:sz w:val="22"/>
    </w:rPr>
  </w:style>
  <w:style w:type="paragraph" w:customStyle="1" w:styleId="P68B1DB1-Normale8">
    <w:name w:val="P68B1DB1-Normale8"/>
    <w:basedOn w:val="Normal"/>
    <w:rPr>
      <w:rFonts w:ascii="Times New Roman" w:hAnsi="Times New Roman"/>
      <w:color w:val="000000" w:themeColor="text1"/>
      <w:sz w:val="22"/>
    </w:rPr>
  </w:style>
  <w:style w:type="paragraph" w:customStyle="1" w:styleId="P68B1DB1-Normale9">
    <w:name w:val="P68B1DB1-Normale9"/>
    <w:basedOn w:val="Normal"/>
    <w:rPr>
      <w:b/>
      <w:i/>
      <w:sz w:val="18"/>
    </w:rPr>
  </w:style>
  <w:style w:type="character" w:customStyle="1" w:styleId="Testo2Carattere">
    <w:name w:val="Testo 2 Carattere"/>
    <w:link w:val="Testo2"/>
    <w:uiPriority w:val="99"/>
    <w:locked/>
    <w:rsid w:val="00EA6C52"/>
    <w:rPr>
      <w:rFonts w:ascii="Times" w:eastAsia="Times New Roman"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3750">
      <w:bodyDiv w:val="1"/>
      <w:marLeft w:val="0"/>
      <w:marRight w:val="0"/>
      <w:marTop w:val="0"/>
      <w:marBottom w:val="0"/>
      <w:divBdr>
        <w:top w:val="none" w:sz="0" w:space="0" w:color="auto"/>
        <w:left w:val="none" w:sz="0" w:space="0" w:color="auto"/>
        <w:bottom w:val="none" w:sz="0" w:space="0" w:color="auto"/>
        <w:right w:val="none" w:sz="0" w:space="0" w:color="auto"/>
      </w:divBdr>
    </w:div>
    <w:div w:id="265891115">
      <w:bodyDiv w:val="1"/>
      <w:marLeft w:val="0"/>
      <w:marRight w:val="0"/>
      <w:marTop w:val="0"/>
      <w:marBottom w:val="0"/>
      <w:divBdr>
        <w:top w:val="none" w:sz="0" w:space="0" w:color="auto"/>
        <w:left w:val="none" w:sz="0" w:space="0" w:color="auto"/>
        <w:bottom w:val="none" w:sz="0" w:space="0" w:color="auto"/>
        <w:right w:val="none" w:sz="0" w:space="0" w:color="auto"/>
      </w:divBdr>
    </w:div>
    <w:div w:id="620578570">
      <w:bodyDiv w:val="1"/>
      <w:marLeft w:val="0"/>
      <w:marRight w:val="0"/>
      <w:marTop w:val="0"/>
      <w:marBottom w:val="0"/>
      <w:divBdr>
        <w:top w:val="none" w:sz="0" w:space="0" w:color="auto"/>
        <w:left w:val="none" w:sz="0" w:space="0" w:color="auto"/>
        <w:bottom w:val="none" w:sz="0" w:space="0" w:color="auto"/>
        <w:right w:val="none" w:sz="0" w:space="0" w:color="auto"/>
      </w:divBdr>
    </w:div>
    <w:div w:id="1430585636">
      <w:bodyDiv w:val="1"/>
      <w:marLeft w:val="0"/>
      <w:marRight w:val="0"/>
      <w:marTop w:val="0"/>
      <w:marBottom w:val="0"/>
      <w:divBdr>
        <w:top w:val="none" w:sz="0" w:space="0" w:color="auto"/>
        <w:left w:val="none" w:sz="0" w:space="0" w:color="auto"/>
        <w:bottom w:val="none" w:sz="0" w:space="0" w:color="auto"/>
        <w:right w:val="none" w:sz="0" w:space="0" w:color="auto"/>
      </w:divBdr>
    </w:div>
    <w:div w:id="1885486716">
      <w:bodyDiv w:val="1"/>
      <w:marLeft w:val="0"/>
      <w:marRight w:val="0"/>
      <w:marTop w:val="0"/>
      <w:marBottom w:val="0"/>
      <w:divBdr>
        <w:top w:val="none" w:sz="0" w:space="0" w:color="auto"/>
        <w:left w:val="none" w:sz="0" w:space="0" w:color="auto"/>
        <w:bottom w:val="none" w:sz="0" w:space="0" w:color="auto"/>
        <w:right w:val="none" w:sz="0" w:space="0" w:color="auto"/>
      </w:divBdr>
    </w:div>
    <w:div w:id="2073582100">
      <w:bodyDiv w:val="1"/>
      <w:marLeft w:val="0"/>
      <w:marRight w:val="0"/>
      <w:marTop w:val="0"/>
      <w:marBottom w:val="0"/>
      <w:divBdr>
        <w:top w:val="none" w:sz="0" w:space="0" w:color="auto"/>
        <w:left w:val="none" w:sz="0" w:space="0" w:color="auto"/>
        <w:bottom w:val="none" w:sz="0" w:space="0" w:color="auto"/>
        <w:right w:val="none" w:sz="0" w:space="0" w:color="auto"/>
      </w:divBdr>
    </w:div>
    <w:div w:id="2085763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681</Words>
  <Characters>3901</Characters>
  <Application>Microsoft Office Word</Application>
  <DocSecurity>0</DocSecurity>
  <Lines>84</Lines>
  <Paragraphs>45</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Pizzoccheri Marina</dc:creator>
  <cp:keywords/>
  <dc:description/>
  <cp:lastModifiedBy>Ingrid van den Berg</cp:lastModifiedBy>
  <cp:revision>7</cp:revision>
  <dcterms:created xsi:type="dcterms:W3CDTF">2023-06-07T07:33:00Z</dcterms:created>
  <dcterms:modified xsi:type="dcterms:W3CDTF">2023-10-20T17:04:00Z</dcterms:modified>
</cp:coreProperties>
</file>