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A173" w14:textId="77777777" w:rsidR="00AE5089" w:rsidRDefault="00FA1142">
      <w:pPr>
        <w:spacing w:before="120"/>
        <w:jc w:val="both"/>
      </w:pPr>
      <w:r>
        <w:rPr>
          <w:b/>
          <w:bCs/>
        </w:rPr>
        <w:t>-. Pedagogia del Lavoro Educativo e della Formazione</w:t>
      </w:r>
    </w:p>
    <w:p w14:paraId="7D666BBA" w14:textId="77777777" w:rsidR="00AE5089" w:rsidRDefault="00FA1142">
      <w:pPr>
        <w:spacing w:before="120"/>
        <w:jc w:val="both"/>
        <w:rPr>
          <w:smallCaps/>
        </w:rPr>
      </w:pPr>
      <w:r>
        <w:rPr>
          <w:smallCaps/>
        </w:rPr>
        <w:t xml:space="preserve">Prof.ssa Antonella </w:t>
      </w:r>
      <w:proofErr w:type="spellStart"/>
      <w:r>
        <w:rPr>
          <w:smallCaps/>
        </w:rPr>
        <w:t>Arioli</w:t>
      </w:r>
      <w:proofErr w:type="spellEnd"/>
    </w:p>
    <w:p w14:paraId="5D3FAC31" w14:textId="77777777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t xml:space="preserve">OBIETTIVO DEL CORSO E RISULTATI DI APPRENDIMENTO ATTESI </w:t>
      </w:r>
    </w:p>
    <w:p w14:paraId="6EBDB222" w14:textId="059B3B91" w:rsidR="001A495C" w:rsidRDefault="00FA1142">
      <w:pPr>
        <w:jc w:val="both"/>
      </w:pPr>
      <w:r>
        <w:t>L’insegnamento intende offrire strumenti conosci</w:t>
      </w:r>
      <w:r w:rsidR="00C175C0">
        <w:t>tivi e spunti di riflessione</w:t>
      </w:r>
      <w:r>
        <w:t xml:space="preserve"> circa il lavoro educativo e formativo</w:t>
      </w:r>
      <w:r w:rsidR="007760EB">
        <w:t xml:space="preserve">, </w:t>
      </w:r>
      <w:r w:rsidR="005116A3">
        <w:t xml:space="preserve">in particolare </w:t>
      </w:r>
      <w:r w:rsidR="007760EB">
        <w:t>mettendo</w:t>
      </w:r>
      <w:r w:rsidR="004D6966">
        <w:t>ne</w:t>
      </w:r>
      <w:r w:rsidR="007760EB">
        <w:t xml:space="preserve"> </w:t>
      </w:r>
      <w:r w:rsidR="004D6966">
        <w:t xml:space="preserve">in luce le zone d’ombra: ovvero, </w:t>
      </w:r>
      <w:r w:rsidR="005116A3">
        <w:t xml:space="preserve">le ambiguità, gli impliciti e i paradossi </w:t>
      </w:r>
      <w:r w:rsidR="004D6966">
        <w:t xml:space="preserve">che - spesso inconsapevolmente </w:t>
      </w:r>
      <w:r w:rsidR="00864DE8">
        <w:t>-</w:t>
      </w:r>
      <w:r w:rsidR="004D6966">
        <w:t xml:space="preserve"> attraversano le relazioni di cura. L</w:t>
      </w:r>
      <w:r>
        <w:t>’</w:t>
      </w:r>
      <w:r w:rsidR="00C91107">
        <w:t xml:space="preserve">obiettivo </w:t>
      </w:r>
      <w:r w:rsidR="004D6966">
        <w:t xml:space="preserve">generale </w:t>
      </w:r>
      <w:r>
        <w:t xml:space="preserve">sarà quello di promuovere </w:t>
      </w:r>
      <w:r w:rsidR="00CE6100">
        <w:t xml:space="preserve">la conoscenza critica </w:t>
      </w:r>
      <w:r w:rsidR="002C3274">
        <w:t>di alcuni snodi cruciali dell’esperienza formativa</w:t>
      </w:r>
      <w:r w:rsidR="00C91107" w:rsidRPr="00C91107">
        <w:t xml:space="preserve"> </w:t>
      </w:r>
      <w:r w:rsidR="00C91107">
        <w:t>rivolta ai pr</w:t>
      </w:r>
      <w:r w:rsidR="00C91107">
        <w:t>o</w:t>
      </w:r>
      <w:r w:rsidR="00C91107">
        <w:t xml:space="preserve">fessionisti dell’educazione, </w:t>
      </w:r>
      <w:r w:rsidR="00C175C0">
        <w:t>quali la consapevolezza di sé, la motivazione e il senso del limite.</w:t>
      </w:r>
      <w:r w:rsidR="004D6966">
        <w:t xml:space="preserve"> </w:t>
      </w:r>
      <w:r w:rsidR="001A495C">
        <w:t xml:space="preserve">Verranno quindi approfonditi alcuni percorsi realizzati </w:t>
      </w:r>
      <w:r w:rsidR="002C3274">
        <w:t xml:space="preserve">in </w:t>
      </w:r>
      <w:r w:rsidR="001A495C">
        <w:t>contesti org</w:t>
      </w:r>
      <w:r w:rsidR="001A495C">
        <w:t>a</w:t>
      </w:r>
      <w:r w:rsidR="001A495C">
        <w:t xml:space="preserve">nizzativi </w:t>
      </w:r>
      <w:r w:rsidR="002C3274">
        <w:t>specifici</w:t>
      </w:r>
      <w:r w:rsidR="00CD7E6B">
        <w:t xml:space="preserve">: </w:t>
      </w:r>
      <w:r w:rsidR="002C3274">
        <w:t xml:space="preserve">quello sociale, </w:t>
      </w:r>
      <w:r w:rsidR="00D412ED">
        <w:t xml:space="preserve">aziendale, e </w:t>
      </w:r>
      <w:r w:rsidR="002C3274">
        <w:t>scolastico</w:t>
      </w:r>
      <w:r w:rsidR="001A495C">
        <w:t>.</w:t>
      </w:r>
    </w:p>
    <w:p w14:paraId="6BD0C83A" w14:textId="77777777" w:rsidR="00FA1142" w:rsidRDefault="00CE6100" w:rsidP="00CD442D">
      <w:pPr>
        <w:spacing w:before="60"/>
        <w:jc w:val="both"/>
      </w:pPr>
      <w:r>
        <w:t>Al termine del corso, lo studente sarà in grado di:</w:t>
      </w:r>
    </w:p>
    <w:p w14:paraId="439E4BC9" w14:textId="2F48D237" w:rsidR="005116A3" w:rsidRDefault="00CE6100">
      <w:pPr>
        <w:jc w:val="both"/>
      </w:pPr>
      <w:r>
        <w:t>- compren</w:t>
      </w:r>
      <w:r w:rsidR="004D6966">
        <w:t>dere quali aspetti caratterizzano i progetti formativi volti a promuovere una professionalità educativa riflessiva</w:t>
      </w:r>
      <w:r w:rsidR="00864DE8">
        <w:t>;</w:t>
      </w:r>
    </w:p>
    <w:p w14:paraId="2ACE3B75" w14:textId="17B545B9" w:rsidR="00CE6100" w:rsidRDefault="00CE6100">
      <w:pPr>
        <w:jc w:val="both"/>
      </w:pPr>
      <w:r>
        <w:t>- approfon</w:t>
      </w:r>
      <w:r w:rsidR="004D6966">
        <w:t xml:space="preserve">dire le molteplici luci ed ombre </w:t>
      </w:r>
      <w:r>
        <w:t>del lavoro educativo</w:t>
      </w:r>
      <w:r w:rsidR="007D19D5">
        <w:t xml:space="preserve"> e formativo</w:t>
      </w:r>
      <w:r w:rsidR="004D6966">
        <w:t xml:space="preserve">, </w:t>
      </w:r>
      <w:r>
        <w:t>in r</w:t>
      </w:r>
      <w:r>
        <w:t>e</w:t>
      </w:r>
      <w:r>
        <w:t>lazione ai vari contesti</w:t>
      </w:r>
      <w:r w:rsidR="00864DE8">
        <w:t>;</w:t>
      </w:r>
    </w:p>
    <w:p w14:paraId="44CBBE63" w14:textId="77777777" w:rsidR="003908E6" w:rsidRDefault="003908E6">
      <w:pPr>
        <w:jc w:val="both"/>
      </w:pPr>
      <w:r>
        <w:t>- conoscere alcune esperienze di formazione, individuandone le peculiarità per lo sviluppo delle competenze degli operatori.</w:t>
      </w:r>
    </w:p>
    <w:p w14:paraId="407B3CA1" w14:textId="77777777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t>PROGRAMMA DEL CORSO</w:t>
      </w:r>
    </w:p>
    <w:p w14:paraId="52D1CF05" w14:textId="77777777" w:rsidR="00AE5089" w:rsidRDefault="004B3A07">
      <w:pPr>
        <w:jc w:val="both"/>
      </w:pPr>
      <w:r>
        <w:t>Gli argomenti principali delle lezioni saranno i seguenti:</w:t>
      </w:r>
    </w:p>
    <w:p w14:paraId="55FFC72F" w14:textId="77777777" w:rsidR="00360431" w:rsidRDefault="00360431">
      <w:pPr>
        <w:jc w:val="both"/>
      </w:pPr>
    </w:p>
    <w:p w14:paraId="50894425" w14:textId="77777777" w:rsidR="00360431" w:rsidRDefault="00360431">
      <w:pPr>
        <w:jc w:val="both"/>
      </w:pPr>
      <w:r>
        <w:t>- La formazione e il lavoro educativo: declinazioni e specificità contestuali</w:t>
      </w:r>
    </w:p>
    <w:p w14:paraId="3D0812C3" w14:textId="77777777" w:rsidR="00360431" w:rsidRDefault="00360431">
      <w:pPr>
        <w:jc w:val="both"/>
      </w:pPr>
      <w:r>
        <w:t>- La centralità della formazione professionale per lo sviluppo delle competenze dell’operatore</w:t>
      </w:r>
    </w:p>
    <w:p w14:paraId="79C49C14" w14:textId="77777777" w:rsidR="00360431" w:rsidRDefault="001A495C">
      <w:pPr>
        <w:jc w:val="both"/>
      </w:pPr>
      <w:r>
        <w:t xml:space="preserve">- </w:t>
      </w:r>
      <w:r w:rsidR="00544DFC">
        <w:t xml:space="preserve">Le molteplici connotazioni dell’ombra e i </w:t>
      </w:r>
      <w:r>
        <w:t>lati oscuri dell’</w:t>
      </w:r>
      <w:r w:rsidR="002C3274">
        <w:t xml:space="preserve">educazione: </w:t>
      </w:r>
      <w:r w:rsidR="00544DFC">
        <w:t>ambiguità e paradossi della pedagogia “buia”; aspetti ignoti che abitano sottotraccia le relazi</w:t>
      </w:r>
      <w:r w:rsidR="00544DFC">
        <w:t>o</w:t>
      </w:r>
      <w:r w:rsidR="00544DFC">
        <w:t>ni; ambivalenze della vocazione educativa; dimensione affet</w:t>
      </w:r>
      <w:r w:rsidR="00C175C0">
        <w:t xml:space="preserve">tiva e connotazione erotica; </w:t>
      </w:r>
      <w:r w:rsidR="00544DFC">
        <w:t>carisma</w:t>
      </w:r>
      <w:r w:rsidR="00C175C0">
        <w:t xml:space="preserve"> e magistero dell’educatore; errore e </w:t>
      </w:r>
      <w:r>
        <w:t>fallimento.</w:t>
      </w:r>
    </w:p>
    <w:p w14:paraId="06A491EC" w14:textId="77777777" w:rsidR="00CD7E6B" w:rsidRDefault="00CD7E6B">
      <w:pPr>
        <w:jc w:val="both"/>
      </w:pPr>
      <w:r>
        <w:t>- A</w:t>
      </w:r>
      <w:r w:rsidR="002C3274">
        <w:t>lcun</w:t>
      </w:r>
      <w:r>
        <w:t>i esempi di percorsi formativi:</w:t>
      </w:r>
    </w:p>
    <w:p w14:paraId="727EB883" w14:textId="77777777" w:rsidR="00CD7E6B" w:rsidRDefault="00317F90">
      <w:pPr>
        <w:jc w:val="both"/>
      </w:pPr>
      <w:r>
        <w:t>* in contesto sociale</w:t>
      </w:r>
      <w:r w:rsidR="00CD7E6B">
        <w:t>: l’ombra del</w:t>
      </w:r>
      <w:r w:rsidR="005013E9">
        <w:t>l</w:t>
      </w:r>
      <w:r w:rsidR="00C91107">
        <w:t xml:space="preserve">a routine e </w:t>
      </w:r>
      <w:r w:rsidR="00D412ED">
        <w:t xml:space="preserve">il significato del </w:t>
      </w:r>
      <w:r w:rsidR="00C91107">
        <w:t>sapere dell’esperienza</w:t>
      </w:r>
    </w:p>
    <w:p w14:paraId="0279791F" w14:textId="77777777" w:rsidR="00317F90" w:rsidRDefault="00317F90">
      <w:pPr>
        <w:jc w:val="both"/>
      </w:pPr>
      <w:r>
        <w:t>* in azienda: l’ombra del genere e la valorizzazione delle differenze</w:t>
      </w:r>
    </w:p>
    <w:p w14:paraId="092853BC" w14:textId="77777777" w:rsidR="00317F90" w:rsidRDefault="00317F90" w:rsidP="00317F90">
      <w:pPr>
        <w:jc w:val="both"/>
      </w:pPr>
      <w:r>
        <w:t>* in ambito scolastico: l’ombra del limite e la promozione dell’autonomia</w:t>
      </w:r>
    </w:p>
    <w:p w14:paraId="6EE24D83" w14:textId="01AE55C8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lastRenderedPageBreak/>
        <w:t xml:space="preserve">BIBLIOGRAFIA </w:t>
      </w:r>
      <w:r w:rsidR="00230DEB">
        <w:rPr>
          <w:rStyle w:val="Rimandonotaapidipagina"/>
          <w:b/>
          <w:bCs/>
          <w:i/>
          <w:iCs/>
        </w:rPr>
        <w:footnoteReference w:id="1"/>
      </w:r>
    </w:p>
    <w:p w14:paraId="7AC494F2" w14:textId="3FBF1372" w:rsidR="00E11C01" w:rsidRPr="00230DEB" w:rsidRDefault="004B3A07" w:rsidP="00230DEB">
      <w:pPr>
        <w:rPr>
          <w:rFonts w:cs="Times New Roman"/>
          <w:i/>
          <w:color w:val="0070C0"/>
          <w:sz w:val="16"/>
          <w:szCs w:val="16"/>
        </w:rPr>
      </w:pPr>
      <w:r>
        <w:t xml:space="preserve">- V. </w:t>
      </w:r>
      <w:proofErr w:type="spellStart"/>
      <w:r>
        <w:rPr>
          <w:smallCaps/>
        </w:rPr>
        <w:t>Iori</w:t>
      </w:r>
      <w:proofErr w:type="spellEnd"/>
      <w:r w:rsidR="00864DE8">
        <w:rPr>
          <w:smallCaps/>
        </w:rPr>
        <w:t xml:space="preserve"> -</w:t>
      </w:r>
      <w:r w:rsidR="001A495C">
        <w:rPr>
          <w:smallCaps/>
        </w:rPr>
        <w:t xml:space="preserve"> </w:t>
      </w:r>
      <w:r w:rsidR="001A495C">
        <w:t xml:space="preserve">D. </w:t>
      </w:r>
      <w:proofErr w:type="spellStart"/>
      <w:r w:rsidR="001A495C">
        <w:rPr>
          <w:smallCaps/>
        </w:rPr>
        <w:t>Bruzzone</w:t>
      </w:r>
      <w:proofErr w:type="spellEnd"/>
      <w:r w:rsidR="001A495C">
        <w:rPr>
          <w:smallCaps/>
        </w:rPr>
        <w:t xml:space="preserve"> </w:t>
      </w:r>
      <w:r>
        <w:t xml:space="preserve">(a cura di), </w:t>
      </w:r>
      <w:r w:rsidR="00E11C01" w:rsidRPr="00E11C01">
        <w:rPr>
          <w:i/>
        </w:rPr>
        <w:t>Le ombre dell’educazione. Ambivalenze, i</w:t>
      </w:r>
      <w:r w:rsidR="00E11C01" w:rsidRPr="00E11C01">
        <w:rPr>
          <w:i/>
        </w:rPr>
        <w:t>m</w:t>
      </w:r>
      <w:r w:rsidR="00E11C01" w:rsidRPr="00E11C01">
        <w:rPr>
          <w:i/>
        </w:rPr>
        <w:t>pliciti, paradossi</w:t>
      </w:r>
      <w:r w:rsidR="00E11C01">
        <w:t>, Franco Angeli, Milano, 2015</w:t>
      </w:r>
      <w:r w:rsidR="00833C61">
        <w:t>.</w:t>
      </w:r>
      <w:r w:rsidR="00230DEB" w:rsidRPr="00230DEB">
        <w:rPr>
          <w:rFonts w:cs="Times New Roman"/>
          <w:i/>
          <w:color w:val="0070C0"/>
          <w:sz w:val="16"/>
          <w:szCs w:val="16"/>
        </w:rPr>
        <w:t xml:space="preserve"> </w:t>
      </w:r>
      <w:hyperlink r:id="rId9" w:history="1">
        <w:r w:rsidR="00230DEB" w:rsidRPr="00230DEB">
          <w:rPr>
            <w:rStyle w:val="Collegamentoipertestuale"/>
            <w:rFonts w:cs="Times New Roman"/>
            <w:i/>
            <w:color w:val="0070C0"/>
            <w:sz w:val="16"/>
            <w:szCs w:val="16"/>
          </w:rPr>
          <w:t>Acquista da VP</w:t>
        </w:r>
      </w:hyperlink>
    </w:p>
    <w:p w14:paraId="6292F994" w14:textId="77777777" w:rsidR="00E11C01" w:rsidRDefault="00E11C01">
      <w:pPr>
        <w:spacing w:line="240" w:lineRule="exact"/>
        <w:jc w:val="both"/>
      </w:pPr>
    </w:p>
    <w:p w14:paraId="3B7D91BC" w14:textId="77777777" w:rsidR="00E11C01" w:rsidRDefault="00E11C01">
      <w:pPr>
        <w:spacing w:line="240" w:lineRule="exact"/>
        <w:jc w:val="both"/>
      </w:pPr>
      <w:r>
        <w:t>Un testo a scelta fra i seguenti:</w:t>
      </w:r>
    </w:p>
    <w:p w14:paraId="5B4CB382" w14:textId="4975470F" w:rsidR="00833C61" w:rsidRDefault="00833C61">
      <w:pPr>
        <w:spacing w:line="240" w:lineRule="exact"/>
        <w:jc w:val="both"/>
      </w:pPr>
      <w:r>
        <w:t xml:space="preserve">- V. </w:t>
      </w:r>
      <w:proofErr w:type="spellStart"/>
      <w:r>
        <w:rPr>
          <w:smallCaps/>
        </w:rPr>
        <w:t>Iori</w:t>
      </w:r>
      <w:proofErr w:type="spellEnd"/>
      <w:r w:rsidR="00864DE8">
        <w:rPr>
          <w:smallCaps/>
        </w:rPr>
        <w:t xml:space="preserve"> -</w:t>
      </w:r>
      <w:r>
        <w:t xml:space="preserve"> </w:t>
      </w:r>
      <w:r>
        <w:rPr>
          <w:smallCaps/>
        </w:rPr>
        <w:t>A. Augelli</w:t>
      </w:r>
      <w:r w:rsidR="00864DE8">
        <w:rPr>
          <w:smallCaps/>
        </w:rPr>
        <w:t xml:space="preserve"> -</w:t>
      </w:r>
      <w:r>
        <w:rPr>
          <w:smallCaps/>
        </w:rPr>
        <w:t xml:space="preserve"> D. </w:t>
      </w:r>
      <w:proofErr w:type="spellStart"/>
      <w:r>
        <w:rPr>
          <w:smallCaps/>
        </w:rPr>
        <w:t>Bruzzone</w:t>
      </w:r>
      <w:proofErr w:type="spellEnd"/>
      <w:r w:rsidR="00864DE8">
        <w:rPr>
          <w:smallCaps/>
        </w:rPr>
        <w:t xml:space="preserve"> -</w:t>
      </w:r>
      <w:r>
        <w:rPr>
          <w:smallCaps/>
        </w:rPr>
        <w:t xml:space="preserve"> E. Musi, </w:t>
      </w:r>
      <w:r w:rsidRPr="00833C61">
        <w:rPr>
          <w:i/>
        </w:rPr>
        <w:t>Ripartire dall’esperienza. Dir</w:t>
      </w:r>
      <w:r w:rsidRPr="00833C61">
        <w:rPr>
          <w:i/>
        </w:rPr>
        <w:t>e</w:t>
      </w:r>
      <w:r w:rsidRPr="00833C61">
        <w:rPr>
          <w:i/>
        </w:rPr>
        <w:t>zioni di senso nel lavoro sociale</w:t>
      </w:r>
      <w:r w:rsidR="00864DE8">
        <w:t xml:space="preserve">, </w:t>
      </w:r>
      <w:proofErr w:type="spellStart"/>
      <w:r w:rsidR="00864DE8">
        <w:t>Franco</w:t>
      </w:r>
      <w:r>
        <w:t>Angeli</w:t>
      </w:r>
      <w:proofErr w:type="spellEnd"/>
      <w:r>
        <w:t>, Milano, 2010.</w:t>
      </w:r>
    </w:p>
    <w:p w14:paraId="288F76BE" w14:textId="7E77E026" w:rsidR="00833C61" w:rsidRPr="00230DEB" w:rsidRDefault="00833C61" w:rsidP="00230DEB">
      <w:pPr>
        <w:rPr>
          <w:rFonts w:cs="Times New Roman"/>
          <w:i/>
          <w:color w:val="0070C0"/>
          <w:sz w:val="16"/>
          <w:szCs w:val="16"/>
        </w:rPr>
      </w:pPr>
      <w:r>
        <w:t xml:space="preserve">- </w:t>
      </w:r>
      <w:r w:rsidRPr="00833C61">
        <w:rPr>
          <w:smallCaps/>
        </w:rPr>
        <w:t xml:space="preserve">V. </w:t>
      </w:r>
      <w:proofErr w:type="spellStart"/>
      <w:r w:rsidRPr="00833C61">
        <w:rPr>
          <w:smallCaps/>
        </w:rPr>
        <w:t>Iori</w:t>
      </w:r>
      <w:proofErr w:type="spellEnd"/>
      <w:r>
        <w:t xml:space="preserve"> (a cura di), </w:t>
      </w:r>
      <w:r w:rsidRPr="00833C61">
        <w:rPr>
          <w:i/>
        </w:rPr>
        <w:t>Fare la differenza. Analisi e proposte di gender management</w:t>
      </w:r>
      <w:r w:rsidR="00864DE8">
        <w:t xml:space="preserve">, </w:t>
      </w:r>
      <w:proofErr w:type="spellStart"/>
      <w:r w:rsidR="00864DE8">
        <w:t>Franco</w:t>
      </w:r>
      <w:r>
        <w:t>Angeli</w:t>
      </w:r>
      <w:proofErr w:type="spellEnd"/>
      <w:r>
        <w:t>, Milano, 2014.</w:t>
      </w:r>
      <w:r w:rsidR="00230DEB" w:rsidRPr="00230DEB">
        <w:rPr>
          <w:rFonts w:cs="Times New Roman"/>
          <w:i/>
          <w:color w:val="0070C0"/>
          <w:sz w:val="16"/>
          <w:szCs w:val="16"/>
        </w:rPr>
        <w:t xml:space="preserve"> </w:t>
      </w:r>
      <w:bookmarkStart w:id="0" w:name="_GoBack"/>
      <w:r w:rsidR="00230DEB" w:rsidRPr="00230DEB">
        <w:rPr>
          <w:rFonts w:cs="Times New Roman"/>
          <w:i/>
          <w:color w:val="0070C0"/>
          <w:sz w:val="16"/>
          <w:szCs w:val="16"/>
        </w:rPr>
        <w:fldChar w:fldCharType="begin"/>
      </w:r>
      <w:r w:rsidR="00230DEB" w:rsidRPr="00230DEB">
        <w:rPr>
          <w:rFonts w:cs="Times New Roman"/>
          <w:i/>
          <w:color w:val="0070C0"/>
          <w:sz w:val="16"/>
          <w:szCs w:val="16"/>
        </w:rPr>
        <w:instrText xml:space="preserve"> HYPERLINK "https://librerie.unicatt.it/scheda-libro/fare-la-differenza-analisi-e-proposte-di-gender-management-9788820446949-212959.html" </w:instrText>
      </w:r>
      <w:r w:rsidR="00230DEB" w:rsidRPr="00230DEB">
        <w:rPr>
          <w:rFonts w:cs="Times New Roman"/>
          <w:i/>
          <w:color w:val="0070C0"/>
          <w:sz w:val="16"/>
          <w:szCs w:val="16"/>
        </w:rPr>
      </w:r>
      <w:r w:rsidR="00230DEB" w:rsidRPr="00230DEB">
        <w:rPr>
          <w:rFonts w:cs="Times New Roman"/>
          <w:i/>
          <w:color w:val="0070C0"/>
          <w:sz w:val="16"/>
          <w:szCs w:val="16"/>
        </w:rPr>
        <w:fldChar w:fldCharType="separate"/>
      </w:r>
      <w:r w:rsidR="00230DEB" w:rsidRPr="00230DEB">
        <w:rPr>
          <w:rStyle w:val="Collegamentoipertestuale"/>
          <w:rFonts w:cs="Times New Roman"/>
          <w:i/>
          <w:color w:val="0070C0"/>
          <w:sz w:val="16"/>
          <w:szCs w:val="16"/>
        </w:rPr>
        <w:t>Acquista da VP</w:t>
      </w:r>
      <w:r w:rsidR="00230DEB" w:rsidRPr="00230DEB">
        <w:rPr>
          <w:rFonts w:cs="Times New Roman"/>
          <w:i/>
          <w:color w:val="0070C0"/>
          <w:sz w:val="16"/>
          <w:szCs w:val="16"/>
        </w:rPr>
        <w:fldChar w:fldCharType="end"/>
      </w:r>
      <w:bookmarkEnd w:id="0"/>
    </w:p>
    <w:p w14:paraId="22CB1BCF" w14:textId="4656160F" w:rsidR="00E11C01" w:rsidRPr="00833C61" w:rsidRDefault="00833C61">
      <w:pPr>
        <w:spacing w:line="240" w:lineRule="exact"/>
        <w:jc w:val="both"/>
      </w:pPr>
      <w:r>
        <w:t xml:space="preserve">- </w:t>
      </w:r>
      <w:r w:rsidRPr="00833C61">
        <w:rPr>
          <w:smallCaps/>
        </w:rPr>
        <w:t xml:space="preserve">A. </w:t>
      </w:r>
      <w:proofErr w:type="spellStart"/>
      <w:r w:rsidRPr="00833C61">
        <w:rPr>
          <w:smallCaps/>
        </w:rPr>
        <w:t>Arioli</w:t>
      </w:r>
      <w:proofErr w:type="spellEnd"/>
      <w:r>
        <w:t xml:space="preserve">, </w:t>
      </w:r>
      <w:r w:rsidRPr="00833C61">
        <w:rPr>
          <w:i/>
        </w:rPr>
        <w:t>Mondi che si incontrano in una stanza. L’esperienza del progetto “I</w:t>
      </w:r>
      <w:r w:rsidRPr="00833C61">
        <w:rPr>
          <w:i/>
        </w:rPr>
        <w:t>n</w:t>
      </w:r>
      <w:r w:rsidRPr="00833C61">
        <w:rPr>
          <w:i/>
        </w:rPr>
        <w:t>sieme e autonomia donne”,</w:t>
      </w:r>
      <w:r w:rsidR="00864DE8">
        <w:t xml:space="preserve"> </w:t>
      </w:r>
      <w:proofErr w:type="spellStart"/>
      <w:r w:rsidR="00864DE8">
        <w:t>Franco</w:t>
      </w:r>
      <w:r>
        <w:t>Angeli</w:t>
      </w:r>
      <w:proofErr w:type="spellEnd"/>
      <w:r>
        <w:t xml:space="preserve">, Milano, 2015. </w:t>
      </w:r>
    </w:p>
    <w:p w14:paraId="64F6A44C" w14:textId="77777777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t xml:space="preserve">DIDATTICA DEL CORSO </w:t>
      </w:r>
    </w:p>
    <w:p w14:paraId="6509D81D" w14:textId="77777777" w:rsidR="00AE5089" w:rsidRDefault="00D412ED">
      <w:pPr>
        <w:jc w:val="both"/>
      </w:pPr>
      <w:r>
        <w:t>Lezioni interattive</w:t>
      </w:r>
      <w:r w:rsidR="004B3A07">
        <w:t xml:space="preserve"> in aula. Le lezioni prevedono il coinvolgimento attivo degli st</w:t>
      </w:r>
      <w:r w:rsidR="004B3A07">
        <w:t>u</w:t>
      </w:r>
      <w:r w:rsidR="004B3A07">
        <w:t>denti, mediante momenti di dialogo e discussione (es. analisi di sequenze cinem</w:t>
      </w:r>
      <w:r w:rsidR="004B3A07">
        <w:t>a</w:t>
      </w:r>
      <w:r w:rsidR="004B3A07">
        <w:t>tografiche) e i</w:t>
      </w:r>
      <w:r>
        <w:t>l confronto con professionisti coinvolti nelle esperienze formative presentate</w:t>
      </w:r>
      <w:r w:rsidR="004B3A07">
        <w:t xml:space="preserve">. </w:t>
      </w:r>
    </w:p>
    <w:p w14:paraId="45B4CEF0" w14:textId="77777777" w:rsidR="00AE5089" w:rsidRDefault="004B3A07">
      <w:pPr>
        <w:jc w:val="both"/>
      </w:pPr>
      <w:r w:rsidRPr="008D506C">
        <w:t>I materiali utilizzati nel corso delle lezioni verranno messi a disposizione degli st</w:t>
      </w:r>
      <w:r w:rsidRPr="008D506C">
        <w:t>u</w:t>
      </w:r>
      <w:r w:rsidRPr="008D506C">
        <w:t xml:space="preserve">denti tramite la piattaforma </w:t>
      </w:r>
      <w:proofErr w:type="spellStart"/>
      <w:r w:rsidRPr="008D506C">
        <w:t>Blackboard</w:t>
      </w:r>
      <w:proofErr w:type="spellEnd"/>
      <w:r w:rsidRPr="008D506C">
        <w:t>.</w:t>
      </w:r>
    </w:p>
    <w:p w14:paraId="4473B770" w14:textId="77777777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t xml:space="preserve">METODO E CRITERI DI VALUTAZIONE </w:t>
      </w:r>
    </w:p>
    <w:p w14:paraId="26510CE5" w14:textId="66AF4984" w:rsidR="00AE5089" w:rsidRDefault="004B3A07">
      <w:pPr>
        <w:spacing w:before="120"/>
        <w:jc w:val="both"/>
      </w:pPr>
      <w:r w:rsidRPr="00866C29">
        <w:t>L</w:t>
      </w:r>
      <w:r w:rsidR="00864DE8" w:rsidRPr="00866C29">
        <w:t>’</w:t>
      </w:r>
      <w:r w:rsidRPr="00866C29">
        <w:t>insegnamento prevede un esame finale in forma di colloquio. In sede di esame, verranno tenuti in considerazione i seguenti parametri: conoscenza delle tematiche trattate a lezione e del contenuto dei testi indicati in bibliografia, capacità di arg</w:t>
      </w:r>
      <w:r w:rsidRPr="00866C29">
        <w:t>o</w:t>
      </w:r>
      <w:r w:rsidRPr="00866C29">
        <w:t>mentare in modo chiaro e con linguaggio appropriato, capacità riflessiva.</w:t>
      </w:r>
      <w:r>
        <w:t xml:space="preserve"> </w:t>
      </w:r>
    </w:p>
    <w:p w14:paraId="57FA9324" w14:textId="77777777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t xml:space="preserve">AVVERTENZE E PREREQUISITI </w:t>
      </w:r>
    </w:p>
    <w:p w14:paraId="42EBBA39" w14:textId="77777777" w:rsidR="005116A3" w:rsidRDefault="005116A3" w:rsidP="005116A3">
      <w:pPr>
        <w:spacing w:before="120"/>
        <w:jc w:val="both"/>
      </w:pPr>
      <w:r>
        <w:t>Il corso presuppone la conoscenza di elementi di pedagogia generale, che sono di norma acquisiti nel corso del I e del II anno. La docente avrà cura, comunque, di spiegare accuratamente la terminologia e i concetti utilizzati nel corso delle lezioni.</w:t>
      </w:r>
    </w:p>
    <w:p w14:paraId="783769C1" w14:textId="77777777" w:rsidR="005116A3" w:rsidRDefault="005116A3" w:rsidP="00CD442D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</w:pP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</w:t>
      </w: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</w:t>
      </w: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za dell’insegnamento con modalità che verranno comunicate in tempo utile agli studenti</w:t>
      </w:r>
      <w:r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00E0F825" w14:textId="77777777" w:rsidR="00AE5089" w:rsidRPr="00D31DE0" w:rsidRDefault="00D31DE0">
      <w:pPr>
        <w:spacing w:before="240" w:after="120"/>
        <w:jc w:val="both"/>
        <w:rPr>
          <w:b/>
          <w:bCs/>
          <w:i/>
          <w:iCs/>
        </w:rPr>
      </w:pPr>
      <w:r w:rsidRPr="00D31DE0">
        <w:rPr>
          <w:b/>
          <w:bCs/>
          <w:i/>
          <w:iCs/>
        </w:rPr>
        <w:lastRenderedPageBreak/>
        <w:t>ORARIO E LUOGO DI RICEVIMENTO DEGLI STUDENTI</w:t>
      </w:r>
    </w:p>
    <w:p w14:paraId="519C4DA0" w14:textId="4915F316" w:rsidR="00F16315" w:rsidRPr="004D6966" w:rsidRDefault="005116A3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 prof.ssa Antonella </w:t>
      </w:r>
      <w:proofErr w:type="spellStart"/>
      <w:r>
        <w:rPr>
          <w:rFonts w:ascii="Times New Roman" w:hAnsi="Times New Roman"/>
          <w:sz w:val="20"/>
        </w:rPr>
        <w:t>Arioli</w:t>
      </w:r>
      <w:proofErr w:type="spellEnd"/>
      <w:r w:rsidR="00D412ED">
        <w:rPr>
          <w:rFonts w:ascii="Times New Roman" w:hAnsi="Times New Roman"/>
          <w:sz w:val="20"/>
        </w:rPr>
        <w:t xml:space="preserve"> </w:t>
      </w:r>
      <w:r w:rsidR="00D412ED" w:rsidRPr="00F12A9C">
        <w:rPr>
          <w:rFonts w:ascii="Times New Roman" w:hAnsi="Times New Roman"/>
          <w:sz w:val="20"/>
        </w:rPr>
        <w:t xml:space="preserve">riceve gli studenti </w:t>
      </w:r>
      <w:r w:rsidR="00D412ED">
        <w:rPr>
          <w:rFonts w:ascii="Times New Roman" w:hAnsi="Times New Roman"/>
          <w:sz w:val="20"/>
        </w:rPr>
        <w:t xml:space="preserve">nel suo ufficio a Piacenza previo appuntamento da concordare via e-mail </w:t>
      </w:r>
      <w:r w:rsidRPr="00864DE8">
        <w:rPr>
          <w:rFonts w:ascii="Times New Roman" w:hAnsi="Times New Roman"/>
          <w:sz w:val="20"/>
        </w:rPr>
        <w:t>(antonella.arioli</w:t>
      </w:r>
      <w:r w:rsidR="004D6966" w:rsidRPr="00864DE8">
        <w:rPr>
          <w:rFonts w:ascii="Times New Roman" w:hAnsi="Times New Roman"/>
          <w:sz w:val="20"/>
        </w:rPr>
        <w:t>@unicatt.it)</w:t>
      </w:r>
      <w:r w:rsidR="00864DE8">
        <w:rPr>
          <w:rFonts w:ascii="Times New Roman" w:hAnsi="Times New Roman"/>
          <w:sz w:val="20"/>
        </w:rPr>
        <w:t>.</w:t>
      </w:r>
    </w:p>
    <w:sectPr w:rsidR="00F16315" w:rsidRPr="004D6966" w:rsidSect="00AE5089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76496" w14:textId="77777777" w:rsidR="000E311E" w:rsidRDefault="000E311E" w:rsidP="00AE5089">
      <w:r>
        <w:separator/>
      </w:r>
    </w:p>
  </w:endnote>
  <w:endnote w:type="continuationSeparator" w:id="0">
    <w:p w14:paraId="04DC22A4" w14:textId="77777777" w:rsidR="000E311E" w:rsidRDefault="000E311E" w:rsidP="00A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1182" w14:textId="77777777" w:rsidR="00AE5089" w:rsidRDefault="00AE508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5109" w14:textId="77777777" w:rsidR="000E311E" w:rsidRDefault="000E311E" w:rsidP="00AE5089">
      <w:r>
        <w:separator/>
      </w:r>
    </w:p>
  </w:footnote>
  <w:footnote w:type="continuationSeparator" w:id="0">
    <w:p w14:paraId="174A8748" w14:textId="77777777" w:rsidR="000E311E" w:rsidRDefault="000E311E" w:rsidP="00AE5089">
      <w:r>
        <w:continuationSeparator/>
      </w:r>
    </w:p>
  </w:footnote>
  <w:footnote w:id="1">
    <w:p w14:paraId="598D6A7A" w14:textId="77777777" w:rsidR="00230DEB" w:rsidRPr="001D7759" w:rsidRDefault="00230DEB" w:rsidP="00230DEB">
      <w:pPr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</w:p>
    <w:p w14:paraId="181D875E" w14:textId="616AB3FD" w:rsidR="00230DEB" w:rsidRDefault="00230DE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FBE4" w14:textId="77777777" w:rsidR="00AE5089" w:rsidRDefault="00AE508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075"/>
    <w:multiLevelType w:val="hybridMultilevel"/>
    <w:tmpl w:val="38BAA120"/>
    <w:numStyleLink w:val="Stileimportato1"/>
  </w:abstractNum>
  <w:abstractNum w:abstractNumId="1">
    <w:nsid w:val="4CDF4342"/>
    <w:multiLevelType w:val="hybridMultilevel"/>
    <w:tmpl w:val="F968A9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245D0E"/>
    <w:multiLevelType w:val="hybridMultilevel"/>
    <w:tmpl w:val="38BAA120"/>
    <w:styleLink w:val="Stileimportato1"/>
    <w:lvl w:ilvl="0" w:tplc="BFD61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80B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0622E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6020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2E008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6FF0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6468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27F8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627E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9"/>
    <w:rsid w:val="000E311E"/>
    <w:rsid w:val="00107294"/>
    <w:rsid w:val="00107E54"/>
    <w:rsid w:val="001A495C"/>
    <w:rsid w:val="001B117B"/>
    <w:rsid w:val="00230DEB"/>
    <w:rsid w:val="002C3274"/>
    <w:rsid w:val="00317F90"/>
    <w:rsid w:val="003407B0"/>
    <w:rsid w:val="00360431"/>
    <w:rsid w:val="003908E6"/>
    <w:rsid w:val="0041393B"/>
    <w:rsid w:val="00496492"/>
    <w:rsid w:val="004B3A07"/>
    <w:rsid w:val="004D6966"/>
    <w:rsid w:val="005013E9"/>
    <w:rsid w:val="005017B0"/>
    <w:rsid w:val="005116A3"/>
    <w:rsid w:val="00544DFC"/>
    <w:rsid w:val="005A7661"/>
    <w:rsid w:val="00661096"/>
    <w:rsid w:val="00662FB4"/>
    <w:rsid w:val="007760EB"/>
    <w:rsid w:val="00793ED6"/>
    <w:rsid w:val="007D19D5"/>
    <w:rsid w:val="00833C61"/>
    <w:rsid w:val="00864DE8"/>
    <w:rsid w:val="00866C29"/>
    <w:rsid w:val="00870E99"/>
    <w:rsid w:val="008B0098"/>
    <w:rsid w:val="008D506C"/>
    <w:rsid w:val="00981DCE"/>
    <w:rsid w:val="00AC5E66"/>
    <w:rsid w:val="00AE5089"/>
    <w:rsid w:val="00B54C96"/>
    <w:rsid w:val="00C04E99"/>
    <w:rsid w:val="00C175C0"/>
    <w:rsid w:val="00C91107"/>
    <w:rsid w:val="00CD442D"/>
    <w:rsid w:val="00CD7E6B"/>
    <w:rsid w:val="00CE6100"/>
    <w:rsid w:val="00D31DE0"/>
    <w:rsid w:val="00D412ED"/>
    <w:rsid w:val="00E11C01"/>
    <w:rsid w:val="00F1188C"/>
    <w:rsid w:val="00F16315"/>
    <w:rsid w:val="00F5723A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1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5089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5089"/>
    <w:rPr>
      <w:u w:val="single"/>
    </w:rPr>
  </w:style>
  <w:style w:type="table" w:customStyle="1" w:styleId="TableNormal">
    <w:name w:val="Table Normal"/>
    <w:rsid w:val="00AE5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50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rsid w:val="00AE5089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AE5089"/>
    <w:pPr>
      <w:numPr>
        <w:numId w:val="1"/>
      </w:numPr>
    </w:pPr>
  </w:style>
  <w:style w:type="paragraph" w:customStyle="1" w:styleId="Testo2">
    <w:name w:val="Testo 2"/>
    <w:rsid w:val="00AE5089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xmsonormal">
    <w:name w:val="x_msonormal"/>
    <w:basedOn w:val="Normale"/>
    <w:rsid w:val="00661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0DE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0DE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0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5089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5089"/>
    <w:rPr>
      <w:u w:val="single"/>
    </w:rPr>
  </w:style>
  <w:style w:type="table" w:customStyle="1" w:styleId="TableNormal">
    <w:name w:val="Table Normal"/>
    <w:rsid w:val="00AE5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50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rsid w:val="00AE5089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AE5089"/>
    <w:pPr>
      <w:numPr>
        <w:numId w:val="1"/>
      </w:numPr>
    </w:pPr>
  </w:style>
  <w:style w:type="paragraph" w:customStyle="1" w:styleId="Testo2">
    <w:name w:val="Testo 2"/>
    <w:rsid w:val="00AE5089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xmsonormal">
    <w:name w:val="x_msonormal"/>
    <w:basedOn w:val="Normale"/>
    <w:rsid w:val="00661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0DE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0DE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0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-ombre-delleducazione-ambivalenze-impliciti-paradossi-9788891711397-526032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AC09-274F-41D0-8567-5A0FB0E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Locci Amedeo</cp:lastModifiedBy>
  <cp:revision>4</cp:revision>
  <dcterms:created xsi:type="dcterms:W3CDTF">2021-07-23T11:22:00Z</dcterms:created>
  <dcterms:modified xsi:type="dcterms:W3CDTF">2021-07-30T09:41:00Z</dcterms:modified>
</cp:coreProperties>
</file>