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Metodi e Tecniche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intervento Educativo con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infanzia 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adolescenza</w:t>
      </w:r>
    </w:p>
    <w:p>
      <w:pPr>
        <w:pStyle w:val="Normal.0"/>
        <w:spacing w:line="240" w:lineRule="exact"/>
        <w:outlineLvl w:val="1"/>
        <w:rPr>
          <w:smallCaps w:val="1"/>
          <w:sz w:val="18"/>
          <w:szCs w:val="18"/>
        </w:rPr>
      </w:pPr>
      <w:r>
        <w:rPr>
          <w:smallCaps w:val="1"/>
          <w:sz w:val="18"/>
          <w:szCs w:val="18"/>
          <w:rtl w:val="0"/>
          <w:lang w:val="it-IT"/>
        </w:rPr>
        <w:t>Prof. Alessandra carenzio</w:t>
      </w:r>
    </w:p>
    <w:p>
      <w:pPr>
        <w:pStyle w:val="Normal.0"/>
        <w:jc w:val="both"/>
        <w:rPr>
          <w:b w:val="1"/>
          <w:bCs w:val="1"/>
          <w:smallCap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</w:rPr>
      </w:pPr>
      <w:bookmarkStart w:name="_Hlk72745009" w:id="0"/>
    </w:p>
    <w:p>
      <w:pPr>
        <w:pStyle w:val="Normal.0"/>
        <w:spacing w:before="24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Obiettivo del corso e risultati di apprendimento attesi</w:t>
      </w:r>
    </w:p>
    <w:p>
      <w:pPr>
        <w:pStyle w:val="Normal.0"/>
        <w:spacing w:before="24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insegnamento si propone di fornire un quadro approfondito delle diverse  cornici metodologie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intervento educativo con i bambini e gli adolescenti, delle loro radici teoriche e delle implicazioni operative (tecniche e strumenti).</w:t>
      </w:r>
    </w:p>
    <w:p>
      <w:pPr>
        <w:pStyle w:val="Normal.0"/>
        <w:jc w:val="both"/>
      </w:pPr>
      <w:r>
        <w:rPr>
          <w:rtl w:val="0"/>
          <w:lang w:val="it-IT"/>
        </w:rPr>
        <w:t>Un approfondimento specifico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dedicato alla Peer &amp; Media Education, andando in affondo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origine del metodo e sulle tecniche di lavoro, in relazione al contesto attuale abitato dalla cultura digitale e immerso nel digitale.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Nello specifico il corso intende accrescere la conoscenza e la comprensione: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del concetto di metodo educativo e delle categorie portanti della metodologia educativa;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delle principali impostazioni didattiche finalizzate ad un apprendimento attivo con i bambini e con gli adolescenti;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delle logiche di apprendimento e socializzazione tipiche delle et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(il cervello adolescente);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delle strategie di prevenzione del disagio e dei comportamenti a rischio 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interno della scuola e dei contesti extra-scolastici, in sinergia e rapporto sistemico;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delle potenzialit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delle problematiche legate al tempo del digitale.</w:t>
      </w:r>
    </w:p>
    <w:p>
      <w:pPr>
        <w:pStyle w:val="List Paragraph"/>
        <w:ind w:left="0" w:firstLine="0"/>
        <w:jc w:val="both"/>
        <w:rPr>
          <w:sz w:val="20"/>
          <w:szCs w:val="20"/>
        </w:rPr>
      </w:pPr>
    </w:p>
    <w:p>
      <w:pPr>
        <w:pStyle w:val="Normal.0"/>
        <w:spacing w:before="60" w:line="240" w:lineRule="atLeast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Risultati di apprendimento attesi</w:t>
      </w:r>
    </w:p>
    <w:p>
      <w:pPr>
        <w:pStyle w:val="Normal.0"/>
        <w:tabs>
          <w:tab w:val="left" w:pos="284"/>
        </w:tabs>
        <w:spacing w:line="240" w:lineRule="exact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it-IT"/>
        </w:rPr>
        <w:t xml:space="preserve">I risultati di apprendimento attesi riguardo alle </w:t>
      </w:r>
      <w:r>
        <w:rPr>
          <w:rFonts w:ascii="Times" w:hAnsi="Times"/>
          <w:i w:val="1"/>
          <w:iCs w:val="1"/>
          <w:rtl w:val="0"/>
          <w:lang w:val="it-IT"/>
        </w:rPr>
        <w:t>conoscenze e alla comprensione</w:t>
      </w:r>
      <w:r>
        <w:rPr>
          <w:rFonts w:ascii="Times" w:hAnsi="Times"/>
          <w:rtl w:val="0"/>
          <w:lang w:val="it-IT"/>
        </w:rPr>
        <w:t xml:space="preserve"> (</w:t>
      </w:r>
      <w:r>
        <w:rPr>
          <w:rFonts w:ascii="Times" w:hAnsi="Times"/>
          <w:i w:val="1"/>
          <w:iCs w:val="1"/>
          <w:rtl w:val="0"/>
          <w:lang w:val="it-IT"/>
        </w:rPr>
        <w:t>knowledge and understanding</w:t>
      </w:r>
      <w:r>
        <w:rPr>
          <w:rFonts w:ascii="Times" w:hAnsi="Times"/>
          <w:rtl w:val="0"/>
          <w:lang w:val="it-IT"/>
        </w:rPr>
        <w:t>) sono:</w:t>
      </w:r>
    </w:p>
    <w:p>
      <w:pPr>
        <w:pStyle w:val="Normal.0"/>
        <w:numPr>
          <w:ilvl w:val="0"/>
          <w:numId w:val="3"/>
        </w:numPr>
        <w:bidi w:val="0"/>
        <w:spacing w:line="240" w:lineRule="exact"/>
        <w:ind w:right="0"/>
        <w:jc w:val="both"/>
        <w:rPr>
          <w:rFonts w:ascii="Times" w:hAnsi="Times"/>
          <w:rtl w:val="0"/>
          <w:lang w:val="it-IT"/>
        </w:rPr>
      </w:pPr>
      <w:r>
        <w:rPr>
          <w:rFonts w:ascii="Times" w:hAnsi="Times"/>
          <w:rtl w:val="0"/>
          <w:lang w:val="it-IT"/>
        </w:rPr>
        <w:t>conoscere e comprendere gli snodi fondamentali del quadro di riferimento teorico rispetto al senso metodo, avendo familiarit</w:t>
      </w:r>
      <w:r>
        <w:rPr>
          <w:rFonts w:ascii="Times" w:hAnsi="Times" w:hint="default"/>
          <w:rtl w:val="0"/>
          <w:lang w:val="it-IT"/>
        </w:rPr>
        <w:t xml:space="preserve">à </w:t>
      </w:r>
      <w:r>
        <w:rPr>
          <w:rFonts w:ascii="Times" w:hAnsi="Times"/>
          <w:rtl w:val="0"/>
          <w:lang w:val="it-IT"/>
        </w:rPr>
        <w:t>con gli autori di riferimento;</w:t>
      </w:r>
    </w:p>
    <w:p>
      <w:pPr>
        <w:pStyle w:val="Normal.0"/>
        <w:numPr>
          <w:ilvl w:val="0"/>
          <w:numId w:val="3"/>
        </w:numPr>
        <w:bidi w:val="0"/>
        <w:spacing w:line="240" w:lineRule="exact"/>
        <w:ind w:right="0"/>
        <w:jc w:val="both"/>
        <w:rPr>
          <w:rFonts w:ascii="Times" w:hAnsi="Times"/>
          <w:rtl w:val="0"/>
          <w:lang w:val="it-IT"/>
        </w:rPr>
      </w:pPr>
      <w:r>
        <w:rPr>
          <w:rFonts w:ascii="Times" w:hAnsi="Times"/>
          <w:rtl w:val="0"/>
          <w:lang w:val="it-IT"/>
        </w:rPr>
        <w:t>descrivere, con un lessico preciso, le principali metodologie educative per i minori e gli adolescenti;</w:t>
      </w:r>
    </w:p>
    <w:p>
      <w:pPr>
        <w:pStyle w:val="Normal.0"/>
        <w:numPr>
          <w:ilvl w:val="0"/>
          <w:numId w:val="3"/>
        </w:numPr>
        <w:bidi w:val="0"/>
        <w:spacing w:line="240" w:lineRule="exact"/>
        <w:ind w:right="0"/>
        <w:jc w:val="both"/>
        <w:rPr>
          <w:rFonts w:ascii="Times" w:hAnsi="Times"/>
          <w:rtl w:val="0"/>
          <w:lang w:val="it-IT"/>
        </w:rPr>
      </w:pPr>
      <w:r>
        <w:rPr>
          <w:rFonts w:ascii="Times" w:hAnsi="Times"/>
          <w:rtl w:val="0"/>
          <w:lang w:val="it-IT"/>
        </w:rPr>
        <w:t>riconoscere le radici teoriche delle metodologie educative per l</w:t>
      </w:r>
      <w:r>
        <w:rPr>
          <w:rFonts w:ascii="Times" w:hAnsi="Times" w:hint="default"/>
          <w:rtl w:val="0"/>
          <w:lang w:val="it-IT"/>
        </w:rPr>
        <w:t>’</w:t>
      </w:r>
      <w:r>
        <w:rPr>
          <w:rFonts w:ascii="Times" w:hAnsi="Times"/>
          <w:rtl w:val="0"/>
          <w:lang w:val="it-IT"/>
        </w:rPr>
        <w:t>infanzia e l</w:t>
      </w:r>
      <w:r>
        <w:rPr>
          <w:rFonts w:ascii="Times" w:hAnsi="Times" w:hint="default"/>
          <w:rtl w:val="0"/>
          <w:lang w:val="it-IT"/>
        </w:rPr>
        <w:t>’</w:t>
      </w:r>
      <w:r>
        <w:rPr>
          <w:rFonts w:ascii="Times" w:hAnsi="Times"/>
          <w:rtl w:val="0"/>
          <w:lang w:val="it-IT"/>
        </w:rPr>
        <w:t>adolescenza;</w:t>
      </w:r>
    </w:p>
    <w:p>
      <w:pPr>
        <w:pStyle w:val="Normal.0"/>
        <w:tabs>
          <w:tab w:val="left" w:pos="284"/>
        </w:tabs>
        <w:spacing w:before="60" w:line="240" w:lineRule="exact"/>
        <w:jc w:val="both"/>
      </w:pPr>
      <w:r>
        <w:rPr>
          <w:rFonts w:ascii="Times" w:hAnsi="Times"/>
          <w:rtl w:val="0"/>
          <w:lang w:val="it-IT"/>
        </w:rPr>
        <w:t xml:space="preserve">I risultati di apprendimento attesi riguardo alla </w:t>
      </w:r>
      <w:r>
        <w:rPr>
          <w:rFonts w:ascii="Times" w:hAnsi="Times"/>
          <w:i w:val="1"/>
          <w:iCs w:val="1"/>
          <w:rtl w:val="0"/>
          <w:lang w:val="it-IT"/>
        </w:rPr>
        <w:t>capacit</w:t>
      </w:r>
      <w:r>
        <w:rPr>
          <w:rFonts w:ascii="Times" w:hAnsi="Times" w:hint="default"/>
          <w:i w:val="1"/>
          <w:iCs w:val="1"/>
          <w:rtl w:val="0"/>
          <w:lang w:val="it-IT"/>
        </w:rPr>
        <w:t xml:space="preserve">à </w:t>
      </w:r>
      <w:r>
        <w:rPr>
          <w:rFonts w:ascii="Times" w:hAnsi="Times"/>
          <w:i w:val="1"/>
          <w:iCs w:val="1"/>
          <w:rtl w:val="0"/>
          <w:lang w:val="it-IT"/>
        </w:rPr>
        <w:t>di applicare conoscenze e comprensione</w:t>
      </w:r>
      <w:r>
        <w:rPr>
          <w:rFonts w:ascii="Times" w:hAnsi="Times"/>
          <w:rtl w:val="0"/>
          <w:lang w:val="it-IT"/>
        </w:rPr>
        <w:t xml:space="preserve"> (</w:t>
      </w:r>
      <w:r>
        <w:rPr>
          <w:rFonts w:ascii="Times" w:hAnsi="Times"/>
          <w:i w:val="1"/>
          <w:iCs w:val="1"/>
          <w:rtl w:val="0"/>
          <w:lang w:val="it-IT"/>
        </w:rPr>
        <w:t>applying knowledge and understanding</w:t>
      </w:r>
      <w:r>
        <w:rPr>
          <w:rFonts w:ascii="Times" w:hAnsi="Times"/>
          <w:rtl w:val="0"/>
          <w:lang w:val="it-IT"/>
        </w:rPr>
        <w:t>) sono:</w:t>
      </w:r>
    </w:p>
    <w:p>
      <w:pPr>
        <w:pStyle w:val="Normal.0"/>
        <w:numPr>
          <w:ilvl w:val="0"/>
          <w:numId w:val="3"/>
        </w:numPr>
        <w:spacing w:before="80"/>
        <w:jc w:val="both"/>
        <w:rPr>
          <w:lang w:val="it-IT"/>
        </w:rPr>
      </w:pPr>
      <w:r>
        <w:rPr>
          <w:rtl w:val="0"/>
          <w:lang w:val="it-IT"/>
        </w:rPr>
        <w:t>sapersi confrontare in modo consapevole e critico rispetto alle questioni emergenti che hanno a che fare con la cultura digitale e il digitale, nelle dinamiche tipiche del rapporto con gli schermi;</w:t>
      </w:r>
    </w:p>
    <w:p>
      <w:pPr>
        <w:pStyle w:val="Normal.0"/>
        <w:numPr>
          <w:ilvl w:val="0"/>
          <w:numId w:val="3"/>
        </w:numPr>
        <w:spacing w:before="80"/>
        <w:jc w:val="both"/>
        <w:rPr>
          <w:lang w:val="it-IT"/>
        </w:rPr>
      </w:pPr>
      <w:r>
        <w:rPr>
          <w:rtl w:val="0"/>
          <w:lang w:val="it-IT"/>
        </w:rPr>
        <w:t>saper leggere criticamente le metodologie messe in atto in specifici progetti e precisi contesti;</w:t>
      </w:r>
    </w:p>
    <w:p>
      <w:pPr>
        <w:pStyle w:val="Normal.0"/>
        <w:numPr>
          <w:ilvl w:val="0"/>
          <w:numId w:val="3"/>
        </w:numPr>
        <w:spacing w:before="80"/>
        <w:jc w:val="both"/>
        <w:rPr>
          <w:lang w:val="it-IT"/>
        </w:rPr>
      </w:pPr>
      <w:r>
        <w:rPr>
          <w:rtl w:val="0"/>
          <w:lang w:val="it-IT"/>
        </w:rPr>
        <w:t>saper costruire e realizzare interventi in diversi contesti educativi;</w:t>
      </w:r>
    </w:p>
    <w:p>
      <w:pPr>
        <w:pStyle w:val="Normal.0"/>
        <w:numPr>
          <w:ilvl w:val="0"/>
          <w:numId w:val="3"/>
        </w:numPr>
        <w:spacing w:before="80"/>
        <w:jc w:val="both"/>
        <w:rPr>
          <w:lang w:val="it-IT"/>
        </w:rPr>
      </w:pPr>
      <w:r>
        <w:rPr>
          <w:rtl w:val="0"/>
          <w:lang w:val="it-IT"/>
        </w:rPr>
        <w:t>giustificare in modo coerente le scelte metodologiche che intende mettere in atto nella realizzazione di interventi concreti.</w:t>
      </w:r>
    </w:p>
    <w:p>
      <w:pPr>
        <w:pStyle w:val="Normal.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  <w:tab w:val="left" w:pos="6184"/>
        </w:tabs>
        <w:spacing w:before="240"/>
        <w:ind w:left="284" w:hanging="284"/>
        <w:jc w:val="both"/>
      </w:pPr>
    </w:p>
    <w:p>
      <w:pPr>
        <w:pStyle w:val="Normal.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  <w:tab w:val="left" w:pos="6184"/>
        </w:tabs>
        <w:spacing w:before="240"/>
        <w:ind w:left="284" w:hanging="284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Programma del corso</w:t>
      </w:r>
    </w:p>
    <w:p>
      <w:pPr>
        <w:pStyle w:val="Normal.0"/>
        <w:numPr>
          <w:ilvl w:val="0"/>
          <w:numId w:val="3"/>
        </w:numPr>
        <w:spacing w:before="240"/>
        <w:jc w:val="both"/>
        <w:rPr>
          <w:lang w:val="it-IT"/>
        </w:rPr>
      </w:pPr>
      <w:r>
        <w:rPr>
          <w:rtl w:val="0"/>
          <w:lang w:val="it-IT"/>
        </w:rPr>
        <w:t>Il problema del metodo educativo;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Lavorare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adolescenza: questioni di riferimento attraverso alcuni autori chiave;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Il cervello adolescente;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La pedagogia del contratto (Meirieu);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La cultura digitale come cornice e oggetto del lavoro educativo;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Le metodologie per la prevenzione del disagio e dei comportamenti a rischio;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La Peer&amp;Media Education: origini, tecniche e finalit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.0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Esempi e casi di progettazioni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della Peer&amp;Media Education.</w:t>
      </w:r>
    </w:p>
    <w:p>
      <w:pPr>
        <w:pStyle w:val="Normal.0"/>
        <w:spacing w:after="60"/>
        <w:jc w:val="both"/>
      </w:pPr>
    </w:p>
    <w:p>
      <w:pPr>
        <w:pStyle w:val="Normal.0"/>
        <w:spacing w:before="24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Bibliografia</w:t>
      </w:r>
      <w:r>
        <w:rPr>
          <w:b w:val="1"/>
          <w:bCs w:val="1"/>
          <w:i w:val="1"/>
          <w:iCs w:val="1"/>
          <w:smallCaps w:val="1"/>
          <w:vertAlign w:val="superscript"/>
        </w:rPr>
        <w:footnoteReference w:id="1"/>
      </w:r>
    </w:p>
    <w:p>
      <w:pPr>
        <w:pStyle w:val="Normal.0"/>
        <w:spacing w:before="240"/>
        <w:jc w:val="both"/>
      </w:pPr>
      <w:r>
        <w:rPr>
          <w:smallCaps w:val="1"/>
          <w:rtl w:val="0"/>
          <w:lang w:val="it-IT"/>
        </w:rPr>
        <w:t>G. OTTOLINI, P. C. RIVOLTELLA</w:t>
      </w:r>
      <w:r>
        <w:rPr>
          <w:rtl w:val="0"/>
          <w:lang w:val="it-IT"/>
        </w:rPr>
        <w:t xml:space="preserve">. </w:t>
      </w:r>
      <w:bookmarkEnd w:id="0"/>
      <w:r>
        <w:rPr>
          <w:i w:val="1"/>
          <w:iCs w:val="1"/>
          <w:rtl w:val="0"/>
          <w:lang w:val="it-IT"/>
        </w:rPr>
        <w:t>Il tunnel e il kayak. Teoria e metodo della Peer &amp; Media Education</w:t>
      </w:r>
      <w:r>
        <w:rPr>
          <w:rtl w:val="0"/>
          <w:lang w:val="it-IT"/>
        </w:rPr>
        <w:t>, Franco Angeli, Milano, 2015.</w:t>
      </w:r>
    </w:p>
    <w:p>
      <w:pPr>
        <w:pStyle w:val="Normal.0"/>
        <w:jc w:val="both"/>
      </w:pPr>
      <w:r>
        <w:rPr>
          <w:rtl w:val="0"/>
          <w:lang w:val="it-IT"/>
        </w:rPr>
        <w:t xml:space="preserve">M. RANIERI, </w:t>
      </w:r>
      <w:r>
        <w:rPr>
          <w:i w:val="1"/>
          <w:iCs w:val="1"/>
          <w:rtl w:val="0"/>
          <w:lang w:val="it-IT"/>
        </w:rPr>
        <w:t>Tecnologie per educatori socio-pedagogici. Metodi e strumenti</w:t>
      </w:r>
      <w:r>
        <w:rPr>
          <w:rtl w:val="0"/>
          <w:lang w:val="it-IT"/>
        </w:rPr>
        <w:t>, Carocci, Roma, 2020.</w:t>
      </w:r>
    </w:p>
    <w:p>
      <w:pPr>
        <w:pStyle w:val="Normal.0"/>
        <w:jc w:val="both"/>
      </w:pPr>
      <w:r>
        <w:rPr>
          <w:rtl w:val="0"/>
          <w:lang w:val="it-IT"/>
        </w:rPr>
        <w:t xml:space="preserve">M. L. BOSONI, D. BRAMANTI (a cura di), </w:t>
      </w:r>
      <w:r>
        <w:rPr>
          <w:i w:val="1"/>
          <w:iCs w:val="1"/>
          <w:rtl w:val="0"/>
          <w:lang w:val="it-IT"/>
        </w:rPr>
        <w:t>Famiglie, infanzia e servizi educativi. Partecipazione, reti, alleanze</w:t>
      </w:r>
      <w:r>
        <w:rPr>
          <w:rtl w:val="0"/>
          <w:lang w:val="it-IT"/>
        </w:rPr>
        <w:t>. Vita e Pensiero, Milano 2021.</w:t>
      </w:r>
    </w:p>
    <w:p>
      <w:pPr>
        <w:pStyle w:val="Normal.0"/>
        <w:jc w:val="both"/>
        <w:rPr>
          <w:u w:color="0070c0"/>
        </w:rPr>
      </w:pPr>
      <w:r>
        <w:rPr>
          <w:rtl w:val="0"/>
          <w:lang w:val="it-IT"/>
        </w:rPr>
        <w:t>P. C. RIVOLTELLA, Nuovi alfabeti, Morcelliana, Brescia 2020.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spacing w:before="24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Didattica del corso</w:t>
      </w:r>
    </w:p>
    <w:p>
      <w:pPr>
        <w:pStyle w:val="Normal.0"/>
        <w:spacing w:before="240"/>
        <w:jc w:val="both"/>
      </w:pPr>
      <w:r>
        <w:rPr>
          <w:rtl w:val="0"/>
          <w:lang w:val="it-IT"/>
        </w:rPr>
        <w:t>Il corso segue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impostazione didattica integrata e prevede lezioni frontali in aula e alcune lezioni in forma seminariale in compresenza con specialisti, attraverso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di una didattica interattiva, con sessioni dedicate al troubleshooting 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esercitative. </w:t>
      </w:r>
    </w:p>
    <w:p>
      <w:pPr>
        <w:pStyle w:val="Normal.0"/>
        <w:spacing w:before="120" w:line="240" w:lineRule="atLeast"/>
        <w:jc w:val="both"/>
      </w:pPr>
      <w:r>
        <w:rPr>
          <w:rtl w:val="0"/>
          <w:lang w:val="it-IT"/>
        </w:rPr>
        <w:t>Il corso prevede, inoltre,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seguire un MOOC (corso online e gratuito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Cattolica erogato tramite la piattaforma Open Education di Blackboard). Non si tratta di un obbligo, ma di una scelta da parte dello studente. Il MOOC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segnalato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inizio del corso.</w:t>
      </w:r>
    </w:p>
    <w:p>
      <w:pPr>
        <w:pStyle w:val="Normal.0"/>
        <w:spacing w:before="120" w:line="240" w:lineRule="atLeast"/>
        <w:jc w:val="both"/>
      </w:pPr>
      <w:r>
        <w:rPr>
          <w:rtl w:val="0"/>
          <w:lang w:val="it-IT"/>
        </w:rPr>
        <w:t xml:space="preserve">Il materiale delle lezioni (articoli, video stimoli, slide)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 disposizione nella piattaforma Blackboard, organizzato in cartelle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parte integrante dello studio chiesto agli studenti.</w:t>
      </w:r>
    </w:p>
    <w:p>
      <w:pPr>
        <w:pStyle w:val="Normal.0"/>
        <w:spacing w:before="60"/>
        <w:jc w:val="both"/>
      </w:pPr>
      <w:r>
        <w:rPr>
          <w:rtl w:val="0"/>
          <w:lang w:val="it-IT"/>
        </w:rPr>
        <w:t>Durante le lezioni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utilizzata la cornice del BYOD (bring your own device) per veloci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pratiche o di analisi di app e risorse digitali.</w:t>
      </w:r>
    </w:p>
    <w:p>
      <w:pPr>
        <w:pStyle w:val="Normal.0"/>
        <w:spacing w:before="60"/>
        <w:jc w:val="both"/>
      </w:pPr>
    </w:p>
    <w:p>
      <w:pPr>
        <w:pStyle w:val="Normal.0"/>
        <w:spacing w:before="240" w:after="12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Metodi e criteri di valutazione</w:t>
      </w:r>
    </w:p>
    <w:p>
      <w:pPr>
        <w:pStyle w:val="Normal.0"/>
        <w:spacing w:before="24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accertamento di risultati di apprendimento avverr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attraverso un colloquio orale con domande sui contenuti del corso e la discussione di un progetto costruito dallo studente nel corso delle lezioni per accertare 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leggere criticamente le situazioni e di applicare i concetti studiati alla pratica. Il progetto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inviato via mail alla docente, una settimana prima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esame.</w:t>
      </w:r>
    </w:p>
    <w:p>
      <w:pPr>
        <w:pStyle w:val="Normal.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valutato prendendo in considerazione i seguenti criteri: coerenza, chiarezza, lessico e completezza per la prima parte; coerenza, chiarezza,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analisi critica,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elaborazione di soluzioni operative,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applicazione dei concetti studiati, lessico per il progetto. Verranno messe a disposizione due rubriche, fornite a inizio anno, orientative del lavoro di preparazione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orale e di scrittura del progetto, costruito durante il secondo semestre per step progressivi. Il voto finale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complessivamente in considerazione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esito delle due valutazioni.</w:t>
      </w:r>
    </w:p>
    <w:p>
      <w:pPr>
        <w:pStyle w:val="Normal.0"/>
        <w:jc w:val="both"/>
      </w:pPr>
    </w:p>
    <w:p>
      <w:pPr>
        <w:pStyle w:val="Normal.0"/>
        <w:spacing w:before="24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Avvertenze e prerequisiti</w:t>
      </w:r>
    </w:p>
    <w:p>
      <w:pPr>
        <w:pStyle w:val="Normal.0"/>
        <w:spacing w:before="240"/>
        <w:jc w:val="both"/>
      </w:pPr>
      <w:r>
        <w:rPr>
          <w:rtl w:val="0"/>
          <w:lang w:val="it-IT"/>
        </w:rPr>
        <w:t>Per quanto riguarda la bibliografia, lo studente, alla luce degli studi precedentemente svolti,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chiedere la personalizzazione di una parte del programma. I contenuti di questa personalizzazione dovranno essere concordati con il docente attraverso un colloquio.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insegnamento non necessita di prerequisiti relativi ai contenuti. </w:t>
      </w:r>
    </w:p>
    <w:p>
      <w:pPr>
        <w:pStyle w:val="Normal.0"/>
        <w:spacing w:before="120"/>
        <w:jc w:val="both"/>
        <w:rPr>
          <w:rFonts w:ascii="Times" w:cs="Times" w:hAnsi="Times" w:eastAsia="Times"/>
          <w:i w:val="1"/>
          <w:iCs w:val="1"/>
          <w:color w:val="201f1e"/>
          <w:u w:color="201f1e"/>
        </w:rPr>
      </w:pPr>
      <w:r>
        <w:rPr>
          <w:rFonts w:ascii="Times" w:hAnsi="Times"/>
          <w:b w:val="1"/>
          <w:bCs w:val="1"/>
          <w:i w:val="1"/>
          <w:iCs w:val="1"/>
          <w:color w:val="201f1e"/>
          <w:u w:color="201f1e"/>
          <w:rtl w:val="0"/>
          <w:lang w:val="it-IT"/>
        </w:rPr>
        <w:t>Nel caso in cui la situazione sanitaria relativa alla pandemia di Covid-19 non dovesse consentire la didattica in presenza, sar</w:t>
      </w:r>
      <w:r>
        <w:rPr>
          <w:rFonts w:ascii="Times" w:hAnsi="Times" w:hint="default"/>
          <w:b w:val="1"/>
          <w:bCs w:val="1"/>
          <w:i w:val="1"/>
          <w:iCs w:val="1"/>
          <w:color w:val="201f1e"/>
          <w:u w:color="201f1e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i w:val="1"/>
          <w:iCs w:val="1"/>
          <w:color w:val="201f1e"/>
          <w:u w:color="201f1e"/>
          <w:rtl w:val="0"/>
          <w:lang w:val="it-IT"/>
        </w:rPr>
        <w:t>garantita l</w:t>
      </w:r>
      <w:r>
        <w:rPr>
          <w:rFonts w:ascii="Times" w:hAnsi="Times" w:hint="default"/>
          <w:b w:val="1"/>
          <w:bCs w:val="1"/>
          <w:i w:val="1"/>
          <w:iCs w:val="1"/>
          <w:color w:val="201f1e"/>
          <w:u w:color="201f1e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201f1e"/>
          <w:u w:color="201f1e"/>
          <w:rtl w:val="0"/>
          <w:lang w:val="it-IT"/>
        </w:rPr>
        <w:t>erogazione a distanza dell</w:t>
      </w:r>
      <w:r>
        <w:rPr>
          <w:rFonts w:ascii="Times" w:hAnsi="Times" w:hint="default"/>
          <w:b w:val="1"/>
          <w:bCs w:val="1"/>
          <w:i w:val="1"/>
          <w:iCs w:val="1"/>
          <w:color w:val="201f1e"/>
          <w:u w:color="201f1e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201f1e"/>
          <w:u w:color="201f1e"/>
          <w:rtl w:val="0"/>
          <w:lang w:val="it-IT"/>
        </w:rPr>
        <w:t>insegnamento con modalit</w:t>
      </w:r>
      <w:r>
        <w:rPr>
          <w:rFonts w:ascii="Times" w:hAnsi="Times" w:hint="default"/>
          <w:b w:val="1"/>
          <w:bCs w:val="1"/>
          <w:i w:val="1"/>
          <w:iCs w:val="1"/>
          <w:color w:val="201f1e"/>
          <w:u w:color="201f1e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i w:val="1"/>
          <w:iCs w:val="1"/>
          <w:color w:val="201f1e"/>
          <w:u w:color="201f1e"/>
          <w:rtl w:val="0"/>
          <w:lang w:val="it-IT"/>
        </w:rPr>
        <w:t>che verranno comunicate in tempo utile agli studenti</w:t>
      </w:r>
      <w:r>
        <w:rPr>
          <w:rFonts w:ascii="Times" w:hAnsi="Times"/>
          <w:i w:val="1"/>
          <w:iCs w:val="1"/>
          <w:color w:val="201f1e"/>
          <w:u w:color="201f1e"/>
          <w:rtl w:val="0"/>
          <w:lang w:val="it-IT"/>
        </w:rPr>
        <w:t>.</w:t>
      </w:r>
    </w:p>
    <w:p>
      <w:pPr>
        <w:pStyle w:val="Normal.0"/>
        <w:spacing w:before="120"/>
        <w:jc w:val="both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</w:p>
    <w:p>
      <w:pPr>
        <w:pStyle w:val="Normal.0"/>
        <w:spacing w:before="240"/>
        <w:jc w:val="both"/>
        <w:rPr>
          <w:b w:val="1"/>
          <w:bCs w:val="1"/>
          <w:i w:val="1"/>
          <w:iCs w:val="1"/>
          <w:smallCaps w:val="1"/>
        </w:rPr>
      </w:pPr>
      <w:r>
        <w:rPr>
          <w:b w:val="1"/>
          <w:bCs w:val="1"/>
          <w:i w:val="1"/>
          <w:iCs w:val="1"/>
          <w:smallCaps w:val="1"/>
          <w:rtl w:val="0"/>
          <w:lang w:val="it-IT"/>
        </w:rPr>
        <w:t>Orario e luogo di ricevimento degli studenti</w:t>
      </w:r>
    </w:p>
    <w:p>
      <w:pPr>
        <w:pStyle w:val="Testo 2"/>
        <w:spacing w:before="240" w:line="240" w:lineRule="auto"/>
        <w:ind w:firstLine="0"/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La Prof.ssa Alessandra Carenzio riceve gli studenti su appuntamento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"mailto:alessandra.carenzio@unicatt.it"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alessandra.carenzio@unicatt.it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), si consiglia di verificare sempre gli aggiornamenti nella pagina docente, nel caso di modifiche o di ulteriori spazi a disposizione.</w:t>
      </w:r>
    </w:p>
    <w:sectPr>
      <w:headerReference w:type="default" r:id="rId4"/>
      <w:footerReference w:type="default" r:id="rId5"/>
      <w:pgSz w:w="11900" w:h="16840" w:orient="portrait"/>
      <w:pgMar w:top="3515" w:right="2608" w:bottom="3515" w:left="260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</w:pPr>
      <w:r>
        <w:rPr>
          <w:b w:val="1"/>
          <w:bCs w:val="1"/>
          <w:i w:val="1"/>
          <w:iCs w:val="1"/>
          <w:smallCaps w:val="1"/>
          <w:vertAlign w:val="superscript"/>
        </w:rPr>
        <w:footnoteRef/>
      </w:r>
      <w:r>
        <w:rPr>
          <w:rtl w:val="0"/>
        </w:rPr>
        <w:t xml:space="preserve"> </w:t>
      </w:r>
      <w:r>
        <w:rPr>
          <w:sz w:val="16"/>
          <w:szCs w:val="16"/>
          <w:rtl w:val="0"/>
          <w:lang w:val="it-IT"/>
        </w:rPr>
        <w:t xml:space="preserve">I testi indicati nella bibliografia sono acquistabili presso le librerie di Ateneo; </w:t>
      </w:r>
      <w:r>
        <w:rPr>
          <w:sz w:val="16"/>
          <w:szCs w:val="16"/>
          <w:rtl w:val="0"/>
          <w:lang w:val="it-IT"/>
        </w:rPr>
        <w:t xml:space="preserve">è </w:t>
      </w:r>
      <w:r>
        <w:rPr>
          <w:sz w:val="16"/>
          <w:szCs w:val="16"/>
          <w:rtl w:val="0"/>
          <w:lang w:val="it-IT"/>
        </w:rPr>
        <w:t xml:space="preserve">possibile acquistarli anche presso altri rivenditori.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4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0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6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0" w:hanging="1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Testo 2">
    <w:name w:val="Testo 2"/>
    <w:next w:val="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0" w:lineRule="exact"/>
      <w:ind w:left="0" w:right="0" w:firstLine="284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20"/>
      <w:szCs w:val="20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