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6741" w14:textId="77777777" w:rsidR="0019280F" w:rsidRPr="000052D8" w:rsidRDefault="00437DA1" w:rsidP="0019280F">
      <w:pPr>
        <w:pStyle w:val="Titolo1"/>
        <w:rPr>
          <w:lang w:val="en-US"/>
        </w:rPr>
      </w:pPr>
      <w:r w:rsidRPr="000052D8">
        <w:rPr>
          <w:lang w:val="en-US"/>
        </w:rPr>
        <w:t xml:space="preserve">International </w:t>
      </w:r>
      <w:r w:rsidR="00BE490D" w:rsidRPr="000052D8">
        <w:rPr>
          <w:lang w:val="en-US"/>
        </w:rPr>
        <w:t>Affairs</w:t>
      </w:r>
    </w:p>
    <w:p w14:paraId="36031B68" w14:textId="1F56F1EA" w:rsidR="00BE490D" w:rsidRPr="000052D8" w:rsidRDefault="00BE490D" w:rsidP="00BE490D">
      <w:pPr>
        <w:pStyle w:val="Titolo2"/>
        <w:rPr>
          <w:noProof w:val="0"/>
          <w:lang w:val="en-US"/>
        </w:rPr>
      </w:pPr>
      <w:r w:rsidRPr="000052D8">
        <w:rPr>
          <w:noProof w:val="0"/>
          <w:lang w:val="en-US"/>
        </w:rPr>
        <w:t>Professors Emanuel</w:t>
      </w:r>
      <w:r w:rsidR="002E4795" w:rsidRPr="000052D8">
        <w:rPr>
          <w:noProof w:val="0"/>
          <w:lang w:val="en-US"/>
        </w:rPr>
        <w:t xml:space="preserve">e </w:t>
      </w:r>
      <w:proofErr w:type="spellStart"/>
      <w:r w:rsidR="002E4795" w:rsidRPr="000052D8">
        <w:rPr>
          <w:noProof w:val="0"/>
          <w:lang w:val="en-US"/>
        </w:rPr>
        <w:t>Vendramini</w:t>
      </w:r>
      <w:proofErr w:type="spellEnd"/>
      <w:r w:rsidR="002E4795" w:rsidRPr="000052D8">
        <w:rPr>
          <w:noProof w:val="0"/>
          <w:lang w:val="en-US"/>
        </w:rPr>
        <w:t>-</w:t>
      </w:r>
      <w:r w:rsidR="00C911A4" w:rsidRPr="000052D8">
        <w:rPr>
          <w:noProof w:val="0"/>
          <w:lang w:val="en-US"/>
        </w:rPr>
        <w:t xml:space="preserve"> Pietro </w:t>
      </w:r>
      <w:proofErr w:type="spellStart"/>
      <w:r w:rsidR="00C911A4" w:rsidRPr="000052D8">
        <w:rPr>
          <w:noProof w:val="0"/>
          <w:lang w:val="en-US"/>
        </w:rPr>
        <w:t>Garibaldo</w:t>
      </w:r>
      <w:proofErr w:type="spellEnd"/>
      <w:r w:rsidR="00681120" w:rsidRPr="000052D8">
        <w:rPr>
          <w:noProof w:val="0"/>
          <w:lang w:val="en-US"/>
        </w:rPr>
        <w:t xml:space="preserve"> </w:t>
      </w:r>
      <w:proofErr w:type="spellStart"/>
      <w:r w:rsidR="00681120" w:rsidRPr="000052D8">
        <w:rPr>
          <w:noProof w:val="0"/>
          <w:lang w:val="en-US"/>
        </w:rPr>
        <w:t>Boiardi</w:t>
      </w:r>
      <w:proofErr w:type="spellEnd"/>
    </w:p>
    <w:p w14:paraId="303F22C0" w14:textId="680851FB" w:rsidR="00385703" w:rsidRPr="00514034" w:rsidRDefault="003A4DC8" w:rsidP="00385703">
      <w:pPr>
        <w:spacing w:before="240" w:after="120"/>
        <w:rPr>
          <w:b/>
          <w:i/>
          <w:sz w:val="18"/>
          <w:lang w:val="en-US"/>
        </w:rPr>
      </w:pPr>
      <w:r w:rsidRPr="00514034">
        <w:rPr>
          <w:b/>
          <w:i/>
          <w:sz w:val="18"/>
          <w:lang w:val="en-US"/>
        </w:rPr>
        <w:t>CO</w:t>
      </w:r>
      <w:r w:rsidR="00385703" w:rsidRPr="00514034">
        <w:rPr>
          <w:b/>
          <w:i/>
          <w:sz w:val="18"/>
          <w:lang w:val="en-US"/>
        </w:rPr>
        <w:t>URSE AIMS AND</w:t>
      </w:r>
      <w:r w:rsidR="00385703">
        <w:rPr>
          <w:b/>
          <w:i/>
          <w:sz w:val="18"/>
          <w:lang w:val="en-US"/>
        </w:rPr>
        <w:t xml:space="preserve"> </w:t>
      </w:r>
      <w:r w:rsidR="00385703" w:rsidRPr="00EA5363">
        <w:rPr>
          <w:b/>
          <w:i/>
          <w:sz w:val="18"/>
          <w:lang w:val="en-US"/>
        </w:rPr>
        <w:t>INTENDED</w:t>
      </w:r>
      <w:r w:rsidR="00385703" w:rsidRPr="00514034">
        <w:rPr>
          <w:b/>
          <w:i/>
          <w:sz w:val="18"/>
          <w:lang w:val="en-US"/>
        </w:rPr>
        <w:t xml:space="preserve"> LEARNING OUTCOMES </w:t>
      </w:r>
    </w:p>
    <w:p w14:paraId="0124DB8C" w14:textId="77777777" w:rsidR="00385703" w:rsidRDefault="00385703" w:rsidP="00385703">
      <w:pPr>
        <w:rPr>
          <w:szCs w:val="20"/>
          <w:lang w:val="en-GB"/>
        </w:rPr>
      </w:pPr>
      <w:r>
        <w:rPr>
          <w:szCs w:val="20"/>
          <w:lang w:val="en-GB"/>
        </w:rPr>
        <w:t>The course is made up of two distinct, although related, modules, one per each semester of classes.</w:t>
      </w:r>
    </w:p>
    <w:p w14:paraId="7E073B62" w14:textId="77777777" w:rsidR="00385703" w:rsidRPr="0029398C" w:rsidRDefault="00385703" w:rsidP="00385703">
      <w:pPr>
        <w:jc w:val="center"/>
        <w:rPr>
          <w:szCs w:val="20"/>
          <w:lang w:val="en-GB"/>
        </w:rPr>
      </w:pPr>
    </w:p>
    <w:p w14:paraId="767E2146" w14:textId="77777777" w:rsidR="00385703" w:rsidRPr="00903A82" w:rsidRDefault="00385703" w:rsidP="00385703">
      <w:pPr>
        <w:autoSpaceDE w:val="0"/>
        <w:autoSpaceDN w:val="0"/>
        <w:adjustRightInd w:val="0"/>
        <w:rPr>
          <w:szCs w:val="20"/>
          <w:lang w:val="en-GB"/>
        </w:rPr>
      </w:pPr>
      <w:r w:rsidRPr="00CB713B">
        <w:rPr>
          <w:szCs w:val="20"/>
          <w:lang w:val="en-GB"/>
        </w:rPr>
        <w:t xml:space="preserve">The </w:t>
      </w:r>
      <w:r>
        <w:rPr>
          <w:szCs w:val="20"/>
          <w:lang w:val="en-GB"/>
        </w:rPr>
        <w:t>First</w:t>
      </w:r>
      <w:r w:rsidRPr="00CB713B">
        <w:rPr>
          <w:szCs w:val="20"/>
          <w:lang w:val="en-GB"/>
        </w:rPr>
        <w:t xml:space="preserve"> module</w:t>
      </w:r>
      <w:r>
        <w:rPr>
          <w:szCs w:val="20"/>
          <w:lang w:val="en-GB"/>
        </w:rPr>
        <w:t xml:space="preserve"> </w:t>
      </w:r>
      <w:r w:rsidR="00BE490D">
        <w:rPr>
          <w:szCs w:val="20"/>
          <w:lang w:val="en-GB"/>
        </w:rPr>
        <w:t>Business Government Relations</w:t>
      </w:r>
      <w:r>
        <w:rPr>
          <w:szCs w:val="20"/>
          <w:lang w:val="en-GB"/>
        </w:rPr>
        <w:t xml:space="preserve"> </w:t>
      </w:r>
      <w:r w:rsidRPr="00903A82">
        <w:rPr>
          <w:szCs w:val="20"/>
          <w:lang w:val="en-GB"/>
        </w:rPr>
        <w:t>briefly discusses firms’ and clusters’ strategies and actions to support their competitiveness and then focuses the analysis on the complementary role of governments in making it happen.</w:t>
      </w:r>
    </w:p>
    <w:p w14:paraId="5FCF7DC7" w14:textId="77777777" w:rsidR="00385703" w:rsidRDefault="00385703" w:rsidP="00385703">
      <w:pPr>
        <w:rPr>
          <w:szCs w:val="20"/>
          <w:lang w:val="en-GB"/>
        </w:rPr>
      </w:pPr>
      <w:r w:rsidRPr="00903A82">
        <w:rPr>
          <w:szCs w:val="20"/>
          <w:lang w:val="en-GB"/>
        </w:rPr>
        <w:t xml:space="preserve">A global framework </w:t>
      </w:r>
      <w:proofErr w:type="spellStart"/>
      <w:r w:rsidRPr="00903A82">
        <w:rPr>
          <w:szCs w:val="20"/>
          <w:lang w:val="en-GB"/>
        </w:rPr>
        <w:t>analyzing</w:t>
      </w:r>
      <w:proofErr w:type="spellEnd"/>
      <w:r w:rsidRPr="00903A82">
        <w:rPr>
          <w:szCs w:val="20"/>
          <w:lang w:val="en-GB"/>
        </w:rPr>
        <w:t xml:space="preserve">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w:t>
      </w:r>
      <w:r>
        <w:rPr>
          <w:szCs w:val="20"/>
          <w:lang w:val="en-GB"/>
        </w:rPr>
        <w:t>.</w:t>
      </w:r>
    </w:p>
    <w:p w14:paraId="3619252B" w14:textId="77777777" w:rsidR="00385703" w:rsidRDefault="00385703" w:rsidP="00385703">
      <w:pPr>
        <w:rPr>
          <w:szCs w:val="20"/>
          <w:lang w:val="en-GB"/>
        </w:rPr>
      </w:pPr>
    </w:p>
    <w:p w14:paraId="7DB3AF58" w14:textId="36CC2035" w:rsidR="00385703" w:rsidRPr="00DD7171" w:rsidRDefault="00385703" w:rsidP="00385703">
      <w:pPr>
        <w:rPr>
          <w:szCs w:val="20"/>
          <w:lang w:val="en-GB"/>
        </w:rPr>
      </w:pPr>
      <w:r w:rsidRPr="00DD7171">
        <w:rPr>
          <w:szCs w:val="20"/>
          <w:lang w:val="en-GB"/>
        </w:rPr>
        <w:t xml:space="preserve">The </w:t>
      </w:r>
      <w:r w:rsidR="008413CA" w:rsidRPr="00DD7171">
        <w:rPr>
          <w:szCs w:val="20"/>
          <w:lang w:val="en-GB"/>
        </w:rPr>
        <w:t>S</w:t>
      </w:r>
      <w:r w:rsidRPr="00DD7171">
        <w:rPr>
          <w:szCs w:val="20"/>
          <w:lang w:val="en-GB"/>
        </w:rPr>
        <w:t xml:space="preserve">econd module </w:t>
      </w:r>
      <w:r w:rsidR="00C366D3" w:rsidRPr="00DD7171">
        <w:rPr>
          <w:szCs w:val="20"/>
          <w:lang w:val="en-GB"/>
        </w:rPr>
        <w:t xml:space="preserve">International Corporate Taxation and Tax Planning </w:t>
      </w:r>
      <w:r w:rsidRPr="00DD7171">
        <w:rPr>
          <w:szCs w:val="20"/>
          <w:lang w:val="en-GB"/>
        </w:rPr>
        <w:t>discuss</w:t>
      </w:r>
      <w:r w:rsidR="008413CA" w:rsidRPr="00DD7171">
        <w:rPr>
          <w:szCs w:val="20"/>
          <w:lang w:val="en-GB"/>
        </w:rPr>
        <w:t>es</w:t>
      </w:r>
      <w:r w:rsidRPr="00DD7171">
        <w:rPr>
          <w:szCs w:val="20"/>
          <w:lang w:val="en-GB"/>
        </w:rPr>
        <w:t xml:space="preserve"> </w:t>
      </w:r>
      <w:r w:rsidR="008413CA" w:rsidRPr="00DD7171">
        <w:rPr>
          <w:szCs w:val="20"/>
          <w:lang w:val="en-GB"/>
        </w:rPr>
        <w:t xml:space="preserve">some of </w:t>
      </w:r>
      <w:r w:rsidRPr="00DD7171">
        <w:rPr>
          <w:szCs w:val="20"/>
          <w:lang w:val="en-GB"/>
        </w:rPr>
        <w:t xml:space="preserve">the main questions related to international taxation, both from a theoretical and a practical point of view, thereby providing the main tools of international tax law consulting. Once summarized some of the fundamental notions of international tax law, </w:t>
      </w:r>
      <w:r w:rsidR="008413CA" w:rsidRPr="00DD7171">
        <w:rPr>
          <w:szCs w:val="20"/>
          <w:lang w:val="en-GB"/>
        </w:rPr>
        <w:t>the</w:t>
      </w:r>
      <w:r w:rsidRPr="00DD7171">
        <w:rPr>
          <w:szCs w:val="20"/>
          <w:lang w:val="en-GB"/>
        </w:rPr>
        <w:t xml:space="preserve"> module </w:t>
      </w:r>
      <w:r w:rsidR="008413CA" w:rsidRPr="00DD7171">
        <w:rPr>
          <w:szCs w:val="20"/>
          <w:lang w:val="en-GB"/>
        </w:rPr>
        <w:t>is</w:t>
      </w:r>
      <w:r w:rsidRPr="00DD7171">
        <w:rPr>
          <w:szCs w:val="20"/>
          <w:lang w:val="en-GB"/>
        </w:rPr>
        <w:t xml:space="preserve"> focused on tax treaties, covering group taxation, intra-group flows of income and some relevant BEPS (Base Erosion and Profit Shifting) issues. Particular attention will be given to case studies in order to provide a more comprehensive and integrated approach to the subject matter.</w:t>
      </w:r>
    </w:p>
    <w:p w14:paraId="715AC32B" w14:textId="77777777" w:rsidR="00385703" w:rsidRPr="00DD7171" w:rsidRDefault="00385703" w:rsidP="00385703">
      <w:pPr>
        <w:rPr>
          <w:szCs w:val="20"/>
          <w:lang w:val="en-GB"/>
        </w:rPr>
      </w:pPr>
    </w:p>
    <w:p w14:paraId="41FE40BB" w14:textId="77777777" w:rsidR="00385703" w:rsidRPr="00DD7171" w:rsidRDefault="00385703" w:rsidP="00385703">
      <w:pPr>
        <w:rPr>
          <w:szCs w:val="20"/>
          <w:lang w:val="en-GB"/>
        </w:rPr>
      </w:pPr>
      <w:r w:rsidRPr="00DD7171">
        <w:rPr>
          <w:szCs w:val="20"/>
          <w:lang w:val="en-GB"/>
        </w:rPr>
        <w:t>At the end of the course the students will be able to:</w:t>
      </w:r>
    </w:p>
    <w:p w14:paraId="5206265E" w14:textId="77777777" w:rsidR="00385703" w:rsidRPr="00DD7171" w:rsidRDefault="00385703" w:rsidP="00385703">
      <w:pPr>
        <w:rPr>
          <w:szCs w:val="20"/>
          <w:lang w:val="en-GB"/>
        </w:rPr>
      </w:pPr>
    </w:p>
    <w:p w14:paraId="50FAB538"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Manage the key principles and policies of international taxation;</w:t>
      </w:r>
    </w:p>
    <w:p w14:paraId="3D0713B7" w14:textId="6C08DAAC"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the impact of international taxation on cross-border businesses</w:t>
      </w:r>
      <w:r w:rsidR="008413CA" w:rsidRPr="00DD7171">
        <w:rPr>
          <w:szCs w:val="20"/>
          <w:lang w:val="en-GB"/>
        </w:rPr>
        <w:t xml:space="preserve"> and investments</w:t>
      </w:r>
      <w:r w:rsidRPr="00DD7171">
        <w:rPr>
          <w:szCs w:val="20"/>
          <w:lang w:val="en-GB"/>
        </w:rPr>
        <w:t>;</w:t>
      </w:r>
    </w:p>
    <w:p w14:paraId="538C1C4F"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and discuss the new international tax law developments;</w:t>
      </w:r>
    </w:p>
    <w:p w14:paraId="4126F1D1" w14:textId="77777777" w:rsidR="00385703"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and discuss all the key traits of entrepreneurial personality and</w:t>
      </w:r>
      <w:r>
        <w:rPr>
          <w:szCs w:val="20"/>
          <w:lang w:val="en-GB"/>
        </w:rPr>
        <w:t xml:space="preserve"> leadership styles applied to the different phases of a business’ life cycle;</w:t>
      </w:r>
    </w:p>
    <w:p w14:paraId="0E17C714" w14:textId="77777777" w:rsidR="00385703" w:rsidRDefault="00385703" w:rsidP="00385703">
      <w:pPr>
        <w:numPr>
          <w:ilvl w:val="0"/>
          <w:numId w:val="7"/>
        </w:numPr>
        <w:tabs>
          <w:tab w:val="clear" w:pos="284"/>
          <w:tab w:val="left" w:pos="0"/>
          <w:tab w:val="left" w:pos="426"/>
        </w:tabs>
        <w:ind w:left="426"/>
        <w:rPr>
          <w:szCs w:val="20"/>
          <w:lang w:val="en-GB"/>
        </w:rPr>
      </w:pPr>
      <w:r>
        <w:rPr>
          <w:szCs w:val="20"/>
          <w:lang w:val="en-GB"/>
        </w:rPr>
        <w:t>Develop a business plan (also for internationalization) and prepare the related formal document(s) for the start-up of new businesses or the development of existing ones;</w:t>
      </w:r>
    </w:p>
    <w:p w14:paraId="413D102D" w14:textId="77777777" w:rsidR="00385703" w:rsidRPr="009D2769" w:rsidRDefault="00385703" w:rsidP="00385703">
      <w:pPr>
        <w:numPr>
          <w:ilvl w:val="0"/>
          <w:numId w:val="7"/>
        </w:numPr>
        <w:tabs>
          <w:tab w:val="clear" w:pos="284"/>
          <w:tab w:val="left" w:pos="0"/>
          <w:tab w:val="left" w:pos="426"/>
        </w:tabs>
        <w:ind w:left="426"/>
        <w:rPr>
          <w:szCs w:val="20"/>
          <w:lang w:val="en-GB"/>
        </w:rPr>
      </w:pPr>
      <w:r>
        <w:rPr>
          <w:szCs w:val="20"/>
          <w:lang w:val="en-GB"/>
        </w:rPr>
        <w:t>D</w:t>
      </w:r>
      <w:r w:rsidRPr="009D2769">
        <w:rPr>
          <w:szCs w:val="20"/>
          <w:lang w:val="en-GB"/>
        </w:rPr>
        <w:t>iscuss and evaluate a business plan in terms of the actual feasibility of a new venture;</w:t>
      </w:r>
    </w:p>
    <w:p w14:paraId="5EA253E1"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lastRenderedPageBreak/>
        <w:t>Discuss and present to a selected public a business plan project;</w:t>
      </w:r>
    </w:p>
    <w:p w14:paraId="7989B230" w14:textId="77777777" w:rsidR="00385703" w:rsidRPr="009D2769" w:rsidRDefault="00385703" w:rsidP="00385703">
      <w:pPr>
        <w:rPr>
          <w:lang w:val="en-US"/>
        </w:rPr>
      </w:pPr>
      <w:r w:rsidRPr="009D2769">
        <w:rPr>
          <w:szCs w:val="20"/>
          <w:lang w:val="en-GB"/>
        </w:rPr>
        <w:t>At the end of the second module, the students will also be able to:</w:t>
      </w:r>
    </w:p>
    <w:p w14:paraId="3285DD97"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an in-depth understanding of the principles and practice of selected topics in International business seminar.</w:t>
      </w:r>
    </w:p>
    <w:p w14:paraId="5492B0F6"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 solid understanding of the principles and practice of making business in specific location.</w:t>
      </w:r>
    </w:p>
    <w:p w14:paraId="1A9BB5AC"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 xml:space="preserve">To provide students with knowledge of the principles of competitiveness and economic development. </w:t>
      </w:r>
    </w:p>
    <w:p w14:paraId="629534F7" w14:textId="77777777" w:rsidR="00ED0D38" w:rsidRPr="00514034" w:rsidRDefault="003A4DC8" w:rsidP="00ED0D38">
      <w:pPr>
        <w:spacing w:before="240" w:after="120"/>
        <w:rPr>
          <w:b/>
          <w:i/>
          <w:sz w:val="18"/>
          <w:lang w:val="en-US"/>
        </w:rPr>
      </w:pPr>
      <w:r w:rsidRPr="00514034">
        <w:rPr>
          <w:b/>
          <w:i/>
          <w:sz w:val="18"/>
          <w:lang w:val="en-US"/>
        </w:rPr>
        <w:t>COURSE CONTENT</w:t>
      </w:r>
    </w:p>
    <w:p w14:paraId="111DCB63" w14:textId="77777777" w:rsidR="00BE490D" w:rsidRDefault="00BE490D" w:rsidP="00BE490D">
      <w:pPr>
        <w:rPr>
          <w:rFonts w:ascii="Times" w:hAnsi="Times"/>
          <w:b/>
          <w:szCs w:val="20"/>
          <w:lang w:val="en-GB"/>
        </w:rPr>
      </w:pPr>
    </w:p>
    <w:p w14:paraId="3F105EC5" w14:textId="1E6354AA" w:rsidR="00BE490D" w:rsidRDefault="00BE490D" w:rsidP="00BE490D">
      <w:pPr>
        <w:rPr>
          <w:rFonts w:ascii="Times" w:hAnsi="Times"/>
          <w:b/>
          <w:szCs w:val="20"/>
          <w:lang w:val="en-GB"/>
        </w:rPr>
      </w:pPr>
      <w:r>
        <w:rPr>
          <w:rFonts w:ascii="Times" w:hAnsi="Times"/>
          <w:b/>
          <w:szCs w:val="20"/>
          <w:lang w:val="en-GB"/>
        </w:rPr>
        <w:t xml:space="preserve">Module I: </w:t>
      </w:r>
      <w:r w:rsidR="00DD7171">
        <w:rPr>
          <w:rFonts w:ascii="Times" w:hAnsi="Times"/>
          <w:b/>
          <w:szCs w:val="20"/>
          <w:lang w:val="en-GB"/>
        </w:rPr>
        <w:t>Business Government Relations</w:t>
      </w:r>
    </w:p>
    <w:p w14:paraId="7210822E" w14:textId="77777777" w:rsidR="00BE490D" w:rsidRPr="00903A82" w:rsidRDefault="00BE490D" w:rsidP="00BE490D">
      <w:pPr>
        <w:numPr>
          <w:ilvl w:val="0"/>
          <w:numId w:val="7"/>
        </w:numPr>
        <w:tabs>
          <w:tab w:val="clear" w:pos="284"/>
          <w:tab w:val="left" w:pos="0"/>
          <w:tab w:val="left" w:pos="426"/>
        </w:tabs>
        <w:ind w:left="426"/>
        <w:rPr>
          <w:szCs w:val="20"/>
          <w:lang w:val="en-GB"/>
        </w:rPr>
      </w:pPr>
      <w:r>
        <w:rPr>
          <w:szCs w:val="20"/>
          <w:lang w:val="en-GB"/>
        </w:rPr>
        <w:t>Role of Government</w:t>
      </w:r>
    </w:p>
    <w:p w14:paraId="7E5F1E03" w14:textId="77777777" w:rsidR="00BE490D" w:rsidRPr="00903A82" w:rsidRDefault="00BE490D" w:rsidP="00BE490D">
      <w:pPr>
        <w:numPr>
          <w:ilvl w:val="0"/>
          <w:numId w:val="7"/>
        </w:numPr>
        <w:tabs>
          <w:tab w:val="clear" w:pos="284"/>
          <w:tab w:val="left" w:pos="0"/>
          <w:tab w:val="left" w:pos="426"/>
          <w:tab w:val="left" w:pos="720"/>
        </w:tabs>
        <w:ind w:left="426"/>
        <w:rPr>
          <w:szCs w:val="20"/>
          <w:lang w:val="en-GB"/>
        </w:rPr>
      </w:pPr>
      <w:proofErr w:type="spellStart"/>
      <w:r w:rsidRPr="00903A82">
        <w:rPr>
          <w:szCs w:val="20"/>
          <w:lang w:val="en-GB"/>
        </w:rPr>
        <w:t>Analyze</w:t>
      </w:r>
      <w:proofErr w:type="spellEnd"/>
      <w:r w:rsidRPr="00903A82">
        <w:rPr>
          <w:szCs w:val="20"/>
          <w:lang w:val="en-GB"/>
        </w:rPr>
        <w:t xml:space="preserve"> the competitive advantage of a location.</w:t>
      </w:r>
    </w:p>
    <w:p w14:paraId="0D6378BA" w14:textId="6301B391" w:rsidR="00DD7171" w:rsidRDefault="00DD7171" w:rsidP="00BE490D">
      <w:pPr>
        <w:numPr>
          <w:ilvl w:val="0"/>
          <w:numId w:val="7"/>
        </w:numPr>
        <w:tabs>
          <w:tab w:val="clear" w:pos="284"/>
          <w:tab w:val="left" w:pos="0"/>
          <w:tab w:val="left" w:pos="426"/>
          <w:tab w:val="left" w:pos="720"/>
        </w:tabs>
        <w:ind w:left="426"/>
        <w:rPr>
          <w:szCs w:val="20"/>
          <w:lang w:val="en-GB"/>
        </w:rPr>
      </w:pPr>
      <w:proofErr w:type="spellStart"/>
      <w:r>
        <w:rPr>
          <w:szCs w:val="20"/>
          <w:lang w:val="en-GB"/>
        </w:rPr>
        <w:t>Analyze</w:t>
      </w:r>
      <w:proofErr w:type="spellEnd"/>
      <w:r>
        <w:rPr>
          <w:szCs w:val="20"/>
          <w:lang w:val="en-GB"/>
        </w:rPr>
        <w:t xml:space="preserve"> the relationship between businesses and the Government</w:t>
      </w:r>
    </w:p>
    <w:p w14:paraId="220F4A4F" w14:textId="6C12195A" w:rsidR="00BE490D" w:rsidRPr="00903A82"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Understand the role of Government in promoting competitiveness.</w:t>
      </w:r>
    </w:p>
    <w:p w14:paraId="3FA27DDC" w14:textId="494D5B82" w:rsidR="00BE490D"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 xml:space="preserve">Provide suggestion on how to support </w:t>
      </w:r>
      <w:r w:rsidR="00DD7171">
        <w:rPr>
          <w:szCs w:val="20"/>
          <w:lang w:val="en-GB"/>
        </w:rPr>
        <w:t>business</w:t>
      </w:r>
      <w:r w:rsidRPr="00903A82">
        <w:rPr>
          <w:szCs w:val="20"/>
          <w:lang w:val="en-GB"/>
        </w:rPr>
        <w:t xml:space="preserve"> development.</w:t>
      </w:r>
    </w:p>
    <w:p w14:paraId="02AE196D" w14:textId="77777777" w:rsidR="00DD7171" w:rsidRPr="00903A82" w:rsidRDefault="00DD7171" w:rsidP="000052D8">
      <w:pPr>
        <w:tabs>
          <w:tab w:val="clear" w:pos="284"/>
          <w:tab w:val="left" w:pos="0"/>
          <w:tab w:val="left" w:pos="426"/>
        </w:tabs>
        <w:ind w:left="426"/>
        <w:rPr>
          <w:szCs w:val="20"/>
          <w:lang w:val="en-GB"/>
        </w:rPr>
      </w:pPr>
    </w:p>
    <w:p w14:paraId="57C32D7F" w14:textId="77777777" w:rsidR="00BE490D" w:rsidRDefault="00BE490D" w:rsidP="00BE490D">
      <w:pPr>
        <w:rPr>
          <w:rFonts w:ascii="Times" w:hAnsi="Times"/>
          <w:b/>
          <w:szCs w:val="20"/>
          <w:lang w:val="en-GB"/>
        </w:rPr>
      </w:pPr>
    </w:p>
    <w:p w14:paraId="75B55366" w14:textId="77777777" w:rsidR="00BE490D" w:rsidRPr="00DD7171" w:rsidRDefault="00BE490D" w:rsidP="00BE490D">
      <w:pPr>
        <w:rPr>
          <w:rFonts w:ascii="Times" w:hAnsi="Times"/>
          <w:b/>
          <w:szCs w:val="20"/>
          <w:lang w:val="en-GB"/>
        </w:rPr>
      </w:pPr>
      <w:r w:rsidRPr="00DD7171">
        <w:rPr>
          <w:rFonts w:ascii="Times" w:hAnsi="Times"/>
          <w:b/>
          <w:szCs w:val="20"/>
          <w:lang w:val="en-GB"/>
        </w:rPr>
        <w:t>Module II: International Corporate Taxation and Tax Planning</w:t>
      </w:r>
    </w:p>
    <w:p w14:paraId="484D7055"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Basic notions of international tax law;</w:t>
      </w:r>
    </w:p>
    <w:p w14:paraId="5DDB4585" w14:textId="4A45C97F"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The problem of double taxation: the OECD Model and the other Model Conventions. </w:t>
      </w:r>
    </w:p>
    <w:p w14:paraId="4006D496"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Fundamental international taxation rules: tax residency, permanent establishment, dividends, interests, royalties;</w:t>
      </w:r>
    </w:p>
    <w:p w14:paraId="61164D17"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The taxation of multinational corporations: transfer pricing, CFC rule, group taxation;</w:t>
      </w:r>
    </w:p>
    <w:p w14:paraId="2F9859F3"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Base erosion and profit shifting issues. The taxation of the digital economy;</w:t>
      </w:r>
    </w:p>
    <w:p w14:paraId="02BF9D04" w14:textId="69858F5C" w:rsidR="00ED0D38" w:rsidRDefault="003A4DC8" w:rsidP="00ED0D38">
      <w:pPr>
        <w:spacing w:before="240" w:after="120"/>
        <w:rPr>
          <w:b/>
          <w:i/>
          <w:sz w:val="18"/>
          <w:lang w:val="en-US"/>
        </w:rPr>
      </w:pPr>
      <w:r w:rsidRPr="00514034">
        <w:rPr>
          <w:b/>
          <w:i/>
          <w:sz w:val="18"/>
          <w:lang w:val="en-US"/>
        </w:rPr>
        <w:t>READING LIST</w:t>
      </w:r>
      <w:r w:rsidR="00D4672F">
        <w:rPr>
          <w:rStyle w:val="Rimandonotaapidipagina"/>
          <w:b/>
          <w:i/>
          <w:sz w:val="18"/>
          <w:lang w:val="en-US"/>
        </w:rPr>
        <w:footnoteReference w:id="1"/>
      </w:r>
    </w:p>
    <w:p w14:paraId="0BF75ED9" w14:textId="77777777" w:rsidR="00BE490D" w:rsidRDefault="00BE490D" w:rsidP="00BE490D">
      <w:pPr>
        <w:pStyle w:val="Testo1"/>
        <w:rPr>
          <w:rFonts w:ascii="Times New Roman" w:hAnsi="Times New Roman"/>
          <w:spacing w:val="-5"/>
          <w:szCs w:val="18"/>
          <w:lang w:val="en-GB"/>
        </w:rPr>
      </w:pPr>
    </w:p>
    <w:p w14:paraId="2BFE6DBF" w14:textId="77777777" w:rsidR="00BE490D" w:rsidRPr="00332216" w:rsidRDefault="00BE490D" w:rsidP="00BE490D">
      <w:pPr>
        <w:pStyle w:val="Testo1"/>
        <w:rPr>
          <w:rFonts w:ascii="Times New Roman" w:hAnsi="Times New Roman"/>
          <w:noProof w:val="0"/>
          <w:szCs w:val="18"/>
          <w:lang w:val="en-US"/>
        </w:rPr>
      </w:pPr>
      <w:r w:rsidRPr="00332216">
        <w:rPr>
          <w:rFonts w:ascii="Times New Roman" w:hAnsi="Times New Roman"/>
          <w:noProof w:val="0"/>
          <w:szCs w:val="18"/>
          <w:lang w:val="en-US"/>
        </w:rPr>
        <w:t>Module I:</w:t>
      </w:r>
    </w:p>
    <w:p w14:paraId="54393DB3" w14:textId="6C689F83" w:rsidR="00BE490D" w:rsidRDefault="00BE490D" w:rsidP="00BE490D">
      <w:pPr>
        <w:pStyle w:val="Testo2"/>
        <w:spacing w:before="120"/>
        <w:ind w:firstLine="0"/>
        <w:rPr>
          <w:rFonts w:ascii="Times New Roman" w:hAnsi="Times New Roman"/>
          <w:szCs w:val="18"/>
          <w:lang w:val="en-US"/>
        </w:rPr>
      </w:pPr>
      <w:r w:rsidRPr="00903A82">
        <w:rPr>
          <w:rFonts w:ascii="Times New Roman" w:hAnsi="Times New Roman"/>
          <w:szCs w:val="18"/>
          <w:lang w:val="en-US"/>
        </w:rPr>
        <w:t>M. Porter, On Competition,  Harvard Business School Press, 1998.</w:t>
      </w:r>
    </w:p>
    <w:p w14:paraId="04BC5403" w14:textId="47EFAE76" w:rsidR="000052D8" w:rsidRDefault="000052D8" w:rsidP="00BE490D">
      <w:pPr>
        <w:pStyle w:val="Testo2"/>
        <w:spacing w:before="120"/>
        <w:ind w:firstLine="0"/>
        <w:rPr>
          <w:rFonts w:ascii="Times New Roman" w:hAnsi="Times New Roman"/>
          <w:szCs w:val="18"/>
          <w:lang w:val="en-US"/>
        </w:rPr>
      </w:pPr>
    </w:p>
    <w:p w14:paraId="5104C79F" w14:textId="77777777" w:rsidR="000052D8" w:rsidRPr="00BE490D" w:rsidRDefault="000052D8" w:rsidP="00BE490D">
      <w:pPr>
        <w:pStyle w:val="Testo2"/>
        <w:spacing w:before="120"/>
        <w:ind w:firstLine="0"/>
        <w:rPr>
          <w:rFonts w:ascii="Times New Roman" w:hAnsi="Times New Roman"/>
          <w:szCs w:val="18"/>
          <w:lang w:val="en-US"/>
        </w:rPr>
      </w:pPr>
    </w:p>
    <w:p w14:paraId="3300E022" w14:textId="77777777" w:rsidR="00BE490D" w:rsidRPr="00332216" w:rsidRDefault="00BE490D" w:rsidP="00BE490D">
      <w:pPr>
        <w:pStyle w:val="Testo1"/>
        <w:rPr>
          <w:rFonts w:ascii="Times New Roman" w:hAnsi="Times New Roman"/>
          <w:spacing w:val="-5"/>
          <w:szCs w:val="18"/>
          <w:lang w:val="en-GB"/>
        </w:rPr>
      </w:pPr>
      <w:r w:rsidRPr="00332216">
        <w:rPr>
          <w:rFonts w:ascii="Times New Roman" w:hAnsi="Times New Roman"/>
          <w:spacing w:val="-5"/>
          <w:szCs w:val="18"/>
          <w:lang w:val="en-GB"/>
        </w:rPr>
        <w:lastRenderedPageBreak/>
        <w:t xml:space="preserve">Module </w:t>
      </w:r>
      <w:r>
        <w:rPr>
          <w:rFonts w:ascii="Times New Roman" w:hAnsi="Times New Roman"/>
          <w:spacing w:val="-5"/>
          <w:szCs w:val="18"/>
          <w:lang w:val="en-GB"/>
        </w:rPr>
        <w:t>I</w:t>
      </w:r>
      <w:r w:rsidRPr="00332216">
        <w:rPr>
          <w:rFonts w:ascii="Times New Roman" w:hAnsi="Times New Roman"/>
          <w:spacing w:val="-5"/>
          <w:szCs w:val="18"/>
          <w:lang w:val="en-GB"/>
        </w:rPr>
        <w:t>I:</w:t>
      </w:r>
    </w:p>
    <w:p w14:paraId="43A3459A" w14:textId="3F0A582F" w:rsidR="00BE490D"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sidRPr="00174BA7">
        <w:rPr>
          <w:smallCaps/>
          <w:sz w:val="16"/>
          <w:szCs w:val="16"/>
          <w:lang w:val="en-US"/>
        </w:rPr>
        <w:t>Lang</w:t>
      </w:r>
      <w:r w:rsidRPr="009E0082">
        <w:rPr>
          <w:szCs w:val="20"/>
          <w:lang w:val="en-US"/>
        </w:rPr>
        <w:t xml:space="preserve">, </w:t>
      </w:r>
      <w:r w:rsidRPr="00174BA7">
        <w:rPr>
          <w:i/>
          <w:sz w:val="18"/>
          <w:szCs w:val="18"/>
          <w:lang w:val="en-GB"/>
        </w:rPr>
        <w:t>Introduction to the Law of Double Taxation Conventions</w:t>
      </w:r>
      <w:r w:rsidRPr="00174BA7">
        <w:rPr>
          <w:sz w:val="18"/>
          <w:szCs w:val="18"/>
          <w:lang w:val="en-GB"/>
        </w:rPr>
        <w:t xml:space="preserve">, IBFD, Amsterdam, </w:t>
      </w:r>
      <w:r w:rsidR="000052D8">
        <w:rPr>
          <w:sz w:val="18"/>
          <w:szCs w:val="18"/>
          <w:lang w:val="en-GB"/>
        </w:rPr>
        <w:t>2021</w:t>
      </w:r>
      <w:r w:rsidRPr="00174BA7">
        <w:rPr>
          <w:sz w:val="18"/>
          <w:szCs w:val="18"/>
          <w:lang w:val="en-GB"/>
        </w:rPr>
        <w:t>.</w:t>
      </w:r>
    </w:p>
    <w:p w14:paraId="0AE5CC6F" w14:textId="090D69AA" w:rsidR="000052D8" w:rsidRPr="000052D8" w:rsidRDefault="000052D8" w:rsidP="00BE490D">
      <w:pPr>
        <w:pStyle w:val="Paragrafoelenco"/>
        <w:widowControl w:val="0"/>
        <w:numPr>
          <w:ilvl w:val="0"/>
          <w:numId w:val="9"/>
        </w:numPr>
        <w:suppressAutoHyphens/>
        <w:autoSpaceDE w:val="0"/>
        <w:autoSpaceDN w:val="0"/>
        <w:adjustRightInd w:val="0"/>
        <w:spacing w:line="240" w:lineRule="auto"/>
        <w:rPr>
          <w:i/>
          <w:iCs/>
          <w:sz w:val="18"/>
          <w:szCs w:val="18"/>
          <w:lang w:val="en-GB"/>
        </w:rPr>
      </w:pPr>
      <w:r w:rsidRPr="00174BA7">
        <w:rPr>
          <w:smallCaps/>
          <w:sz w:val="16"/>
          <w:szCs w:val="16"/>
          <w:lang w:val="en-US"/>
        </w:rPr>
        <w:t>Lang</w:t>
      </w:r>
      <w:r>
        <w:rPr>
          <w:smallCaps/>
          <w:sz w:val="16"/>
          <w:szCs w:val="16"/>
          <w:lang w:val="en-US"/>
        </w:rPr>
        <w:t>, Reimer,</w:t>
      </w:r>
      <w:r w:rsidRPr="000052D8">
        <w:rPr>
          <w:i/>
          <w:iCs/>
          <w:sz w:val="18"/>
          <w:szCs w:val="18"/>
          <w:lang w:val="en-GB"/>
        </w:rPr>
        <w:t xml:space="preserve"> </w:t>
      </w:r>
      <w:r w:rsidRPr="000052D8">
        <w:rPr>
          <w:i/>
          <w:iCs/>
          <w:sz w:val="18"/>
          <w:szCs w:val="18"/>
          <w:lang w:val="en-GB"/>
        </w:rPr>
        <w:t>The History of Double Taxation Conventions in the Pre-BEPS Era</w:t>
      </w:r>
      <w:r>
        <w:rPr>
          <w:sz w:val="18"/>
          <w:szCs w:val="18"/>
          <w:lang w:val="en-GB"/>
        </w:rPr>
        <w:t>, IBFD, Amsterdam, 2021.</w:t>
      </w:r>
    </w:p>
    <w:p w14:paraId="69B20932"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Pr>
          <w:smallCaps/>
          <w:sz w:val="16"/>
          <w:szCs w:val="16"/>
          <w:lang w:val="en-GB"/>
        </w:rPr>
        <w:t>Holmes</w:t>
      </w:r>
      <w:r w:rsidRPr="00174BA7">
        <w:rPr>
          <w:smallCaps/>
          <w:sz w:val="16"/>
          <w:szCs w:val="16"/>
          <w:lang w:val="en-GB"/>
        </w:rPr>
        <w:t>,</w:t>
      </w:r>
      <w:r w:rsidRPr="00174BA7">
        <w:rPr>
          <w:sz w:val="18"/>
          <w:szCs w:val="18"/>
          <w:lang w:val="en-GB"/>
        </w:rPr>
        <w:t xml:space="preserve"> </w:t>
      </w:r>
      <w:r w:rsidRPr="00174BA7">
        <w:rPr>
          <w:i/>
          <w:sz w:val="18"/>
          <w:szCs w:val="18"/>
          <w:lang w:val="en-GB"/>
        </w:rPr>
        <w:t>International Tax Policy and Double Tax Treaties</w:t>
      </w:r>
      <w:r w:rsidRPr="00174BA7">
        <w:rPr>
          <w:sz w:val="18"/>
          <w:szCs w:val="18"/>
          <w:lang w:val="en-GB"/>
        </w:rPr>
        <w:t>, IBFD, Amsterdam, 2014.</w:t>
      </w:r>
    </w:p>
    <w:p w14:paraId="6E17C4B6" w14:textId="77777777" w:rsidR="00BE490D" w:rsidRPr="00174BA7" w:rsidRDefault="00BE490D" w:rsidP="00BE490D">
      <w:pPr>
        <w:pStyle w:val="Paragrafoelenco"/>
        <w:autoSpaceDE w:val="0"/>
        <w:autoSpaceDN w:val="0"/>
        <w:adjustRightInd w:val="0"/>
        <w:ind w:left="0"/>
        <w:rPr>
          <w:sz w:val="18"/>
          <w:szCs w:val="18"/>
          <w:lang w:val="en-GB"/>
        </w:rPr>
      </w:pPr>
    </w:p>
    <w:p w14:paraId="20E27C7F" w14:textId="77777777" w:rsidR="00BE490D" w:rsidRPr="00332216"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The chapters to be studied for the course will be indicated. Same for not attending students.</w:t>
      </w:r>
    </w:p>
    <w:p w14:paraId="2BCEC9B6" w14:textId="77777777" w:rsidR="00BE490D" w:rsidRPr="00BE490D"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Further reading materials (slides, articles, case studies) will be provided by the professor during the course.</w:t>
      </w:r>
    </w:p>
    <w:p w14:paraId="371D2016" w14:textId="77777777" w:rsidR="00ED0D38" w:rsidRPr="00514034" w:rsidRDefault="003A4DC8" w:rsidP="00ED0D38">
      <w:pPr>
        <w:spacing w:before="240" w:after="120" w:line="220" w:lineRule="exact"/>
        <w:rPr>
          <w:b/>
          <w:i/>
          <w:sz w:val="18"/>
          <w:lang w:val="en-US"/>
        </w:rPr>
      </w:pPr>
      <w:r w:rsidRPr="00514034">
        <w:rPr>
          <w:b/>
          <w:i/>
          <w:sz w:val="18"/>
          <w:lang w:val="en-US"/>
        </w:rPr>
        <w:t>TEACHING METHOD</w:t>
      </w:r>
    </w:p>
    <w:p w14:paraId="7364C514" w14:textId="77777777" w:rsidR="00BE490D" w:rsidRPr="00332216" w:rsidRDefault="00BE490D" w:rsidP="00BE490D">
      <w:pPr>
        <w:pStyle w:val="Testo2"/>
        <w:spacing w:before="120"/>
        <w:ind w:firstLine="0"/>
        <w:rPr>
          <w:rFonts w:ascii="Times New Roman" w:hAnsi="Times New Roman"/>
          <w:szCs w:val="18"/>
          <w:lang w:val="en-US"/>
        </w:rPr>
      </w:pPr>
      <w:r w:rsidRPr="00332216">
        <w:rPr>
          <w:rFonts w:ascii="Times New Roman" w:hAnsi="Times New Roman"/>
          <w:szCs w:val="18"/>
          <w:lang w:val="en-US"/>
        </w:rPr>
        <w:t>The course will be taught through different methods combined: lectures, discussions of case studies, presentations by students in-class and project works.</w:t>
      </w:r>
    </w:p>
    <w:p w14:paraId="7BE98F57" w14:textId="77777777" w:rsidR="0019280F" w:rsidRPr="003622E8" w:rsidRDefault="0019280F" w:rsidP="0019280F">
      <w:pPr>
        <w:pStyle w:val="Testo2"/>
        <w:ind w:firstLine="0"/>
        <w:rPr>
          <w:rFonts w:ascii="Times New Roman" w:hAnsi="Times New Roman"/>
          <w:sz w:val="20"/>
          <w:lang w:val="en-US"/>
        </w:rPr>
      </w:pPr>
    </w:p>
    <w:p w14:paraId="4A2CFF35" w14:textId="77777777" w:rsidR="00C60FD9" w:rsidRDefault="00514034" w:rsidP="0019280F">
      <w:pPr>
        <w:spacing w:before="240" w:after="120" w:line="220" w:lineRule="exact"/>
        <w:rPr>
          <w:b/>
          <w:i/>
          <w:sz w:val="18"/>
          <w:lang w:val="en-US"/>
        </w:rPr>
      </w:pPr>
      <w:r w:rsidRPr="00906645">
        <w:rPr>
          <w:b/>
          <w:i/>
          <w:sz w:val="18"/>
          <w:lang w:val="en-US"/>
        </w:rPr>
        <w:t>ASSESSMENT METHOD AND CRITERIA</w:t>
      </w:r>
    </w:p>
    <w:p w14:paraId="3B475ECF" w14:textId="77777777" w:rsidR="00BE490D" w:rsidRDefault="00BE490D" w:rsidP="00BE490D">
      <w:pPr>
        <w:autoSpaceDE w:val="0"/>
        <w:autoSpaceDN w:val="0"/>
        <w:adjustRightInd w:val="0"/>
        <w:rPr>
          <w:noProof/>
          <w:sz w:val="18"/>
          <w:szCs w:val="18"/>
          <w:lang w:val="en-US"/>
        </w:rPr>
      </w:pPr>
      <w:r>
        <w:rPr>
          <w:noProof/>
          <w:sz w:val="18"/>
          <w:szCs w:val="18"/>
          <w:lang w:val="en-US"/>
        </w:rPr>
        <w:t>For the First module:</w:t>
      </w:r>
      <w:r w:rsidRPr="00903A82">
        <w:rPr>
          <w:noProof/>
          <w:sz w:val="18"/>
          <w:szCs w:val="18"/>
          <w:lang w:val="en-US"/>
        </w:rPr>
        <w:t xml:space="preserve"> </w:t>
      </w:r>
    </w:p>
    <w:p w14:paraId="3C0CFAC6" w14:textId="3E5B9D02"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Quality of a </w:t>
      </w:r>
      <w:r w:rsidR="00DD7171">
        <w:rPr>
          <w:noProof/>
          <w:sz w:val="18"/>
          <w:szCs w:val="18"/>
          <w:lang w:val="en-US"/>
        </w:rPr>
        <w:t>group project</w:t>
      </w:r>
      <w:r w:rsidRPr="00903A82">
        <w:rPr>
          <w:noProof/>
          <w:sz w:val="18"/>
          <w:szCs w:val="18"/>
          <w:lang w:val="en-US"/>
        </w:rPr>
        <w:t xml:space="preserve"> (</w:t>
      </w:r>
      <w:r w:rsidR="00DD7171">
        <w:rPr>
          <w:noProof/>
          <w:sz w:val="18"/>
          <w:szCs w:val="18"/>
          <w:lang w:val="en-US"/>
        </w:rPr>
        <w:t>5</w:t>
      </w:r>
      <w:r>
        <w:rPr>
          <w:noProof/>
          <w:sz w:val="18"/>
          <w:szCs w:val="18"/>
          <w:lang w:val="en-US"/>
        </w:rPr>
        <w:t xml:space="preserve">0%) and </w:t>
      </w:r>
      <w:r w:rsidRPr="00903A82">
        <w:rPr>
          <w:noProof/>
          <w:sz w:val="18"/>
          <w:szCs w:val="18"/>
          <w:lang w:val="en-US"/>
        </w:rPr>
        <w:t xml:space="preserve"> final exam (</w:t>
      </w:r>
      <w:r w:rsidR="00DD7171">
        <w:rPr>
          <w:noProof/>
          <w:sz w:val="18"/>
          <w:szCs w:val="18"/>
          <w:lang w:val="en-US"/>
        </w:rPr>
        <w:t>5</w:t>
      </w:r>
      <w:r w:rsidRPr="00903A82">
        <w:rPr>
          <w:noProof/>
          <w:sz w:val="18"/>
          <w:szCs w:val="18"/>
          <w:lang w:val="en-US"/>
        </w:rPr>
        <w:t>0%).</w:t>
      </w:r>
    </w:p>
    <w:p w14:paraId="58FD5405" w14:textId="36E243E5"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Dates for the presentations and the submission dates for the </w:t>
      </w:r>
      <w:r w:rsidR="00DD7171">
        <w:rPr>
          <w:noProof/>
          <w:sz w:val="18"/>
          <w:szCs w:val="18"/>
          <w:lang w:val="en-US"/>
        </w:rPr>
        <w:t>group projects</w:t>
      </w:r>
      <w:r w:rsidRPr="00903A82">
        <w:rPr>
          <w:noProof/>
          <w:sz w:val="18"/>
          <w:szCs w:val="18"/>
          <w:lang w:val="en-US"/>
        </w:rPr>
        <w:t xml:space="preserve"> will be discussed on the first day of the module.</w:t>
      </w:r>
      <w:r>
        <w:rPr>
          <w:noProof/>
          <w:sz w:val="18"/>
          <w:szCs w:val="18"/>
          <w:lang w:val="en-US"/>
        </w:rPr>
        <w:t xml:space="preserve"> </w:t>
      </w:r>
    </w:p>
    <w:p w14:paraId="098D38B5" w14:textId="77777777" w:rsidR="00BE490D" w:rsidRDefault="00BE490D" w:rsidP="00BE490D">
      <w:pPr>
        <w:pStyle w:val="Testo2"/>
        <w:ind w:firstLine="0"/>
        <w:rPr>
          <w:rFonts w:ascii="Times New Roman" w:hAnsi="Times New Roman"/>
          <w:szCs w:val="18"/>
          <w:lang w:val="en-US"/>
        </w:rPr>
      </w:pPr>
    </w:p>
    <w:p w14:paraId="09C53905" w14:textId="0640E55B"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 xml:space="preserve">For the second module, attending </w:t>
      </w:r>
      <w:r w:rsidR="00D30EB9" w:rsidRPr="00DD7171">
        <w:rPr>
          <w:rFonts w:ascii="Times New Roman" w:hAnsi="Times New Roman"/>
          <w:szCs w:val="18"/>
          <w:lang w:val="en-US"/>
        </w:rPr>
        <w:t xml:space="preserve">students </w:t>
      </w:r>
      <w:r w:rsidRPr="00DD7171">
        <w:rPr>
          <w:rFonts w:ascii="Times New Roman" w:hAnsi="Times New Roman"/>
          <w:szCs w:val="18"/>
          <w:lang w:val="en-US"/>
        </w:rPr>
        <w:t xml:space="preserve">will be required to </w:t>
      </w:r>
      <w:r w:rsidR="00D30EB9" w:rsidRPr="00DD7171">
        <w:rPr>
          <w:rFonts w:ascii="Times New Roman" w:hAnsi="Times New Roman"/>
          <w:szCs w:val="18"/>
          <w:lang w:val="en-US"/>
        </w:rPr>
        <w:t>present and discuss</w:t>
      </w:r>
      <w:r w:rsidRPr="00DD7171">
        <w:rPr>
          <w:rFonts w:ascii="Times New Roman" w:hAnsi="Times New Roman"/>
          <w:szCs w:val="18"/>
          <w:lang w:val="en-US"/>
        </w:rPr>
        <w:t xml:space="preserve"> a case study and to take a final written exam:</w:t>
      </w:r>
    </w:p>
    <w:p w14:paraId="6E29304F" w14:textId="635EAB87"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Case presentation</w:t>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3D2F2915" w14:textId="629B512F" w:rsidR="00BE490D" w:rsidRPr="00332216"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Final exam</w:t>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5547D123" w14:textId="77777777" w:rsidR="00BE490D" w:rsidRPr="00332216" w:rsidRDefault="00BE490D" w:rsidP="00BE490D">
      <w:pPr>
        <w:pStyle w:val="Testo2"/>
        <w:ind w:firstLine="0"/>
        <w:rPr>
          <w:rFonts w:ascii="Times New Roman" w:hAnsi="Times New Roman"/>
          <w:szCs w:val="18"/>
          <w:lang w:val="en-US"/>
        </w:rPr>
      </w:pPr>
    </w:p>
    <w:p w14:paraId="3F2F02A2" w14:textId="66CA8366" w:rsidR="00BE490D" w:rsidRPr="00332216" w:rsidRDefault="00BE490D" w:rsidP="00BE490D">
      <w:pPr>
        <w:pStyle w:val="Testo2"/>
        <w:ind w:firstLine="0"/>
        <w:rPr>
          <w:rFonts w:ascii="Times New Roman" w:hAnsi="Times New Roman"/>
          <w:szCs w:val="18"/>
          <w:lang w:val="en-GB"/>
        </w:rPr>
      </w:pPr>
      <w:r w:rsidRPr="00332216">
        <w:rPr>
          <w:rFonts w:ascii="Times New Roman" w:hAnsi="Times New Roman"/>
          <w:szCs w:val="18"/>
          <w:lang w:val="en-US"/>
        </w:rPr>
        <w:t>Students not attending class on a regular basis will be required to take a final written test covering all the topics indicated above (“Course</w:t>
      </w:r>
      <w:r w:rsidRPr="00DB2FC9">
        <w:rPr>
          <w:rFonts w:ascii="Times New Roman" w:hAnsi="Times New Roman"/>
          <w:sz w:val="20"/>
          <w:lang w:val="en-US"/>
        </w:rPr>
        <w:t xml:space="preserve"> content”). Suggested </w:t>
      </w:r>
      <w:r w:rsidRPr="00332216">
        <w:rPr>
          <w:rFonts w:ascii="Times New Roman" w:hAnsi="Times New Roman"/>
          <w:szCs w:val="18"/>
          <w:lang w:val="en-US"/>
        </w:rPr>
        <w:t xml:space="preserve">reading: </w:t>
      </w:r>
      <w:r w:rsidRPr="00332216">
        <w:rPr>
          <w:rFonts w:ascii="Times New Roman" w:hAnsi="Times New Roman"/>
          <w:szCs w:val="18"/>
          <w:lang w:val="en-GB"/>
        </w:rPr>
        <w:t xml:space="preserve">Holmes, </w:t>
      </w:r>
      <w:r w:rsidRPr="00332216">
        <w:rPr>
          <w:rFonts w:ascii="Times New Roman" w:eastAsia="Arial Unicode MS" w:hAnsi="Times New Roman"/>
          <w:i/>
          <w:noProof w:val="0"/>
          <w:kern w:val="2"/>
          <w:szCs w:val="18"/>
          <w:lang w:val="en-GB"/>
        </w:rPr>
        <w:t>International Tax Policy and Double Tax Treaties</w:t>
      </w:r>
      <w:r w:rsidRPr="00332216">
        <w:rPr>
          <w:rFonts w:ascii="Times New Roman" w:hAnsi="Times New Roman"/>
          <w:szCs w:val="18"/>
          <w:lang w:val="en-GB"/>
        </w:rPr>
        <w:t>, IBFD, Amsterdam, 2014 (pp. 1-315; 367-427).</w:t>
      </w:r>
    </w:p>
    <w:p w14:paraId="0984CF4E" w14:textId="77777777" w:rsidR="00514034" w:rsidRPr="00514034" w:rsidRDefault="00514034" w:rsidP="00514034">
      <w:pPr>
        <w:spacing w:before="240" w:after="120"/>
        <w:rPr>
          <w:b/>
          <w:i/>
          <w:sz w:val="18"/>
          <w:lang w:val="en-US"/>
        </w:rPr>
      </w:pPr>
      <w:r w:rsidRPr="00514034">
        <w:rPr>
          <w:b/>
          <w:i/>
          <w:sz w:val="18"/>
          <w:lang w:val="en-US"/>
        </w:rPr>
        <w:t>NOTES AND PREREQUISITES</w:t>
      </w:r>
    </w:p>
    <w:p w14:paraId="47119DA1" w14:textId="77777777" w:rsidR="0019280F" w:rsidRPr="00D21871" w:rsidRDefault="0019280F" w:rsidP="0019280F">
      <w:pPr>
        <w:rPr>
          <w:noProof/>
          <w:sz w:val="18"/>
          <w:szCs w:val="18"/>
          <w:lang w:val="en-US"/>
        </w:rPr>
      </w:pPr>
      <w:r w:rsidRPr="003622E8">
        <w:rPr>
          <w:noProof/>
          <w:sz w:val="18"/>
          <w:szCs w:val="18"/>
          <w:lang w:val="en-US"/>
        </w:rPr>
        <w:t xml:space="preserve">Information on office hours available on the teacher's personal page at </w:t>
      </w:r>
      <w:r w:rsidRPr="00D21871">
        <w:rPr>
          <w:noProof/>
          <w:sz w:val="18"/>
          <w:szCs w:val="18"/>
          <w:lang w:val="en-US"/>
        </w:rPr>
        <w:t>http://docenti.unicatt.it/</w:t>
      </w:r>
    </w:p>
    <w:p w14:paraId="09D90F78" w14:textId="77777777" w:rsidR="00385703" w:rsidRPr="00906645" w:rsidRDefault="00385703" w:rsidP="00514034">
      <w:pPr>
        <w:pStyle w:val="Testo2"/>
        <w:ind w:firstLine="0"/>
        <w:rPr>
          <w:lang w:val="en-US"/>
        </w:rPr>
      </w:pPr>
    </w:p>
    <w:sectPr w:rsidR="00385703"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E9EB" w14:textId="77777777" w:rsidR="00B21395" w:rsidRDefault="00B21395" w:rsidP="005C7ED8">
      <w:pPr>
        <w:spacing w:line="240" w:lineRule="auto"/>
      </w:pPr>
      <w:r>
        <w:separator/>
      </w:r>
    </w:p>
  </w:endnote>
  <w:endnote w:type="continuationSeparator" w:id="0">
    <w:p w14:paraId="082E7B48" w14:textId="77777777" w:rsidR="00B21395" w:rsidRDefault="00B21395"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0425" w14:textId="77777777" w:rsidR="00B21395" w:rsidRDefault="00B21395" w:rsidP="005C7ED8">
      <w:pPr>
        <w:spacing w:line="240" w:lineRule="auto"/>
      </w:pPr>
      <w:r>
        <w:separator/>
      </w:r>
    </w:p>
  </w:footnote>
  <w:footnote w:type="continuationSeparator" w:id="0">
    <w:p w14:paraId="1F4013A9" w14:textId="77777777" w:rsidR="00B21395" w:rsidRDefault="00B21395" w:rsidP="005C7ED8">
      <w:pPr>
        <w:spacing w:line="240" w:lineRule="auto"/>
      </w:pPr>
      <w:r>
        <w:continuationSeparator/>
      </w:r>
    </w:p>
  </w:footnote>
  <w:footnote w:id="1">
    <w:p w14:paraId="43D9A77F" w14:textId="36CE6F44" w:rsidR="00D4672F" w:rsidRDefault="00D467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3AF"/>
    <w:multiLevelType w:val="hybridMultilevel"/>
    <w:tmpl w:val="F87064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2880604D"/>
    <w:multiLevelType w:val="hybridMultilevel"/>
    <w:tmpl w:val="44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B3A30"/>
    <w:multiLevelType w:val="hybridMultilevel"/>
    <w:tmpl w:val="FDC04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A052C"/>
    <w:multiLevelType w:val="hybridMultilevel"/>
    <w:tmpl w:val="1CC86C96"/>
    <w:lvl w:ilvl="0" w:tplc="24124130">
      <w:start w:val="1"/>
      <w:numFmt w:val="bullet"/>
      <w:lvlText w:val="•"/>
      <w:lvlJc w:val="left"/>
      <w:pPr>
        <w:tabs>
          <w:tab w:val="num" w:pos="720"/>
        </w:tabs>
        <w:ind w:left="720" w:hanging="360"/>
      </w:pPr>
      <w:rPr>
        <w:rFonts w:ascii="Arial" w:hAnsi="Arial" w:hint="default"/>
      </w:rPr>
    </w:lvl>
    <w:lvl w:ilvl="1" w:tplc="36A495EC" w:tentative="1">
      <w:start w:val="1"/>
      <w:numFmt w:val="bullet"/>
      <w:lvlText w:val="•"/>
      <w:lvlJc w:val="left"/>
      <w:pPr>
        <w:tabs>
          <w:tab w:val="num" w:pos="1440"/>
        </w:tabs>
        <w:ind w:left="1440" w:hanging="360"/>
      </w:pPr>
      <w:rPr>
        <w:rFonts w:ascii="Arial" w:hAnsi="Arial" w:hint="default"/>
      </w:rPr>
    </w:lvl>
    <w:lvl w:ilvl="2" w:tplc="1F707F0A" w:tentative="1">
      <w:start w:val="1"/>
      <w:numFmt w:val="bullet"/>
      <w:lvlText w:val="•"/>
      <w:lvlJc w:val="left"/>
      <w:pPr>
        <w:tabs>
          <w:tab w:val="num" w:pos="2160"/>
        </w:tabs>
        <w:ind w:left="2160" w:hanging="360"/>
      </w:pPr>
      <w:rPr>
        <w:rFonts w:ascii="Arial" w:hAnsi="Arial" w:hint="default"/>
      </w:rPr>
    </w:lvl>
    <w:lvl w:ilvl="3" w:tplc="446EAA18" w:tentative="1">
      <w:start w:val="1"/>
      <w:numFmt w:val="bullet"/>
      <w:lvlText w:val="•"/>
      <w:lvlJc w:val="left"/>
      <w:pPr>
        <w:tabs>
          <w:tab w:val="num" w:pos="2880"/>
        </w:tabs>
        <w:ind w:left="2880" w:hanging="360"/>
      </w:pPr>
      <w:rPr>
        <w:rFonts w:ascii="Arial" w:hAnsi="Arial" w:hint="default"/>
      </w:rPr>
    </w:lvl>
    <w:lvl w:ilvl="4" w:tplc="F94C8542" w:tentative="1">
      <w:start w:val="1"/>
      <w:numFmt w:val="bullet"/>
      <w:lvlText w:val="•"/>
      <w:lvlJc w:val="left"/>
      <w:pPr>
        <w:tabs>
          <w:tab w:val="num" w:pos="3600"/>
        </w:tabs>
        <w:ind w:left="3600" w:hanging="360"/>
      </w:pPr>
      <w:rPr>
        <w:rFonts w:ascii="Arial" w:hAnsi="Arial" w:hint="default"/>
      </w:rPr>
    </w:lvl>
    <w:lvl w:ilvl="5" w:tplc="BE5C7792" w:tentative="1">
      <w:start w:val="1"/>
      <w:numFmt w:val="bullet"/>
      <w:lvlText w:val="•"/>
      <w:lvlJc w:val="left"/>
      <w:pPr>
        <w:tabs>
          <w:tab w:val="num" w:pos="4320"/>
        </w:tabs>
        <w:ind w:left="4320" w:hanging="360"/>
      </w:pPr>
      <w:rPr>
        <w:rFonts w:ascii="Arial" w:hAnsi="Arial" w:hint="default"/>
      </w:rPr>
    </w:lvl>
    <w:lvl w:ilvl="6" w:tplc="C0644CCE" w:tentative="1">
      <w:start w:val="1"/>
      <w:numFmt w:val="bullet"/>
      <w:lvlText w:val="•"/>
      <w:lvlJc w:val="left"/>
      <w:pPr>
        <w:tabs>
          <w:tab w:val="num" w:pos="5040"/>
        </w:tabs>
        <w:ind w:left="5040" w:hanging="360"/>
      </w:pPr>
      <w:rPr>
        <w:rFonts w:ascii="Arial" w:hAnsi="Arial" w:hint="default"/>
      </w:rPr>
    </w:lvl>
    <w:lvl w:ilvl="7" w:tplc="DDBAB826" w:tentative="1">
      <w:start w:val="1"/>
      <w:numFmt w:val="bullet"/>
      <w:lvlText w:val="•"/>
      <w:lvlJc w:val="left"/>
      <w:pPr>
        <w:tabs>
          <w:tab w:val="num" w:pos="5760"/>
        </w:tabs>
        <w:ind w:left="5760" w:hanging="360"/>
      </w:pPr>
      <w:rPr>
        <w:rFonts w:ascii="Arial" w:hAnsi="Arial" w:hint="default"/>
      </w:rPr>
    </w:lvl>
    <w:lvl w:ilvl="8" w:tplc="309664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3F34E8"/>
    <w:multiLevelType w:val="hybridMultilevel"/>
    <w:tmpl w:val="C47415E2"/>
    <w:lvl w:ilvl="0" w:tplc="4B36C1E2">
      <w:numFmt w:val="bullet"/>
      <w:lvlText w:val="-"/>
      <w:lvlJc w:val="left"/>
      <w:pPr>
        <w:ind w:left="360" w:hanging="360"/>
      </w:p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166364602">
    <w:abstractNumId w:val="6"/>
  </w:num>
  <w:num w:numId="2" w16cid:durableId="1155023667">
    <w:abstractNumId w:val="7"/>
  </w:num>
  <w:num w:numId="3" w16cid:durableId="495876312">
    <w:abstractNumId w:val="2"/>
  </w:num>
  <w:num w:numId="4" w16cid:durableId="627972671">
    <w:abstractNumId w:val="3"/>
  </w:num>
  <w:num w:numId="5" w16cid:durableId="1841969321">
    <w:abstractNumId w:val="4"/>
  </w:num>
  <w:num w:numId="6" w16cid:durableId="1557741890">
    <w:abstractNumId w:val="1"/>
  </w:num>
  <w:num w:numId="7" w16cid:durableId="7543973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3561767">
    <w:abstractNumId w:val="5"/>
  </w:num>
  <w:num w:numId="9" w16cid:durableId="16169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BA"/>
    <w:rsid w:val="000052D8"/>
    <w:rsid w:val="00057CB7"/>
    <w:rsid w:val="000C1648"/>
    <w:rsid w:val="001003B5"/>
    <w:rsid w:val="00166527"/>
    <w:rsid w:val="00187B99"/>
    <w:rsid w:val="0019280F"/>
    <w:rsid w:val="002014DD"/>
    <w:rsid w:val="00234994"/>
    <w:rsid w:val="002A3CE1"/>
    <w:rsid w:val="002D0996"/>
    <w:rsid w:val="002E4795"/>
    <w:rsid w:val="002F6CD3"/>
    <w:rsid w:val="00341DB7"/>
    <w:rsid w:val="00385703"/>
    <w:rsid w:val="003A4DC8"/>
    <w:rsid w:val="00437DA1"/>
    <w:rsid w:val="004472A7"/>
    <w:rsid w:val="004B3C44"/>
    <w:rsid w:val="004B5856"/>
    <w:rsid w:val="004C222A"/>
    <w:rsid w:val="004D1217"/>
    <w:rsid w:val="004D6008"/>
    <w:rsid w:val="005027BA"/>
    <w:rsid w:val="00514034"/>
    <w:rsid w:val="005268B5"/>
    <w:rsid w:val="005C7ED8"/>
    <w:rsid w:val="0066484A"/>
    <w:rsid w:val="00681120"/>
    <w:rsid w:val="006C4ADC"/>
    <w:rsid w:val="006F1772"/>
    <w:rsid w:val="007077E6"/>
    <w:rsid w:val="007B67BE"/>
    <w:rsid w:val="00807429"/>
    <w:rsid w:val="008413CA"/>
    <w:rsid w:val="008A1204"/>
    <w:rsid w:val="00900CCA"/>
    <w:rsid w:val="00906645"/>
    <w:rsid w:val="00921D31"/>
    <w:rsid w:val="00924B77"/>
    <w:rsid w:val="00933D21"/>
    <w:rsid w:val="00940DA2"/>
    <w:rsid w:val="00951663"/>
    <w:rsid w:val="00987516"/>
    <w:rsid w:val="009974C5"/>
    <w:rsid w:val="009E055C"/>
    <w:rsid w:val="00A74F6F"/>
    <w:rsid w:val="00A81938"/>
    <w:rsid w:val="00AA4DFD"/>
    <w:rsid w:val="00AD7557"/>
    <w:rsid w:val="00B21395"/>
    <w:rsid w:val="00B47B57"/>
    <w:rsid w:val="00B51253"/>
    <w:rsid w:val="00B525CC"/>
    <w:rsid w:val="00BD37D8"/>
    <w:rsid w:val="00BE490D"/>
    <w:rsid w:val="00BF27AC"/>
    <w:rsid w:val="00C03B44"/>
    <w:rsid w:val="00C366D3"/>
    <w:rsid w:val="00C60FD9"/>
    <w:rsid w:val="00C6271B"/>
    <w:rsid w:val="00C911A4"/>
    <w:rsid w:val="00C9427C"/>
    <w:rsid w:val="00CE6A83"/>
    <w:rsid w:val="00CF4412"/>
    <w:rsid w:val="00D30EB9"/>
    <w:rsid w:val="00D404F2"/>
    <w:rsid w:val="00D4672F"/>
    <w:rsid w:val="00D57EBF"/>
    <w:rsid w:val="00D73443"/>
    <w:rsid w:val="00DD7171"/>
    <w:rsid w:val="00E202A0"/>
    <w:rsid w:val="00E607E6"/>
    <w:rsid w:val="00EA5363"/>
    <w:rsid w:val="00ED0D38"/>
    <w:rsid w:val="00EF38A1"/>
    <w:rsid w:val="00F16A26"/>
    <w:rsid w:val="00F2220F"/>
    <w:rsid w:val="00F82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1C31"/>
  <w15:docId w15:val="{C76595B0-8533-484A-9C32-27733CA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uiPriority w:val="99"/>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8082">
      <w:bodyDiv w:val="1"/>
      <w:marLeft w:val="0"/>
      <w:marRight w:val="0"/>
      <w:marTop w:val="0"/>
      <w:marBottom w:val="0"/>
      <w:divBdr>
        <w:top w:val="none" w:sz="0" w:space="0" w:color="auto"/>
        <w:left w:val="none" w:sz="0" w:space="0" w:color="auto"/>
        <w:bottom w:val="none" w:sz="0" w:space="0" w:color="auto"/>
        <w:right w:val="none" w:sz="0" w:space="0" w:color="auto"/>
      </w:divBdr>
      <w:divsChild>
        <w:div w:id="1999460551">
          <w:marLeft w:val="-225"/>
          <w:marRight w:val="-225"/>
          <w:marTop w:val="0"/>
          <w:marBottom w:val="0"/>
          <w:divBdr>
            <w:top w:val="none" w:sz="0" w:space="0" w:color="auto"/>
            <w:left w:val="none" w:sz="0" w:space="0" w:color="auto"/>
            <w:bottom w:val="none" w:sz="0" w:space="0" w:color="auto"/>
            <w:right w:val="none" w:sz="0" w:space="0" w:color="auto"/>
          </w:divBdr>
          <w:divsChild>
            <w:div w:id="937296596">
              <w:marLeft w:val="0"/>
              <w:marRight w:val="0"/>
              <w:marTop w:val="0"/>
              <w:marBottom w:val="0"/>
              <w:divBdr>
                <w:top w:val="none" w:sz="0" w:space="0" w:color="auto"/>
                <w:left w:val="none" w:sz="0" w:space="0" w:color="auto"/>
                <w:bottom w:val="none" w:sz="0" w:space="0" w:color="auto"/>
                <w:right w:val="none" w:sz="0" w:space="0" w:color="auto"/>
              </w:divBdr>
              <w:divsChild>
                <w:div w:id="19039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C4E0-EF0A-4F8D-9C3D-8C71A4DB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Miccinesi Marco</cp:lastModifiedBy>
  <cp:revision>8</cp:revision>
  <cp:lastPrinted>2019-04-11T12:44:00Z</cp:lastPrinted>
  <dcterms:created xsi:type="dcterms:W3CDTF">2021-06-22T13:30:00Z</dcterms:created>
  <dcterms:modified xsi:type="dcterms:W3CDTF">2022-08-30T15:26:00Z</dcterms:modified>
</cp:coreProperties>
</file>