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B4D35" w14:textId="77777777" w:rsidR="0004446D" w:rsidRDefault="0004446D">
      <w:pPr>
        <w:pStyle w:val="Heading1"/>
      </w:pPr>
      <w:r>
        <w:t>.- Filosofia del Diritto</w:t>
      </w:r>
    </w:p>
    <w:p w14:paraId="2DBDA440" w14:textId="3CB58DA1" w:rsidR="0004446D" w:rsidRDefault="0004446D">
      <w:pPr>
        <w:pStyle w:val="Heading2"/>
      </w:pPr>
      <w:r w:rsidRPr="00830617">
        <w:t>Prof.</w:t>
      </w:r>
      <w:r w:rsidR="00EA351E" w:rsidRPr="00830617">
        <w:t xml:space="preserve">ssa </w:t>
      </w:r>
      <w:r w:rsidRPr="00830617">
        <w:t xml:space="preserve"> Mariachiara Tallacchini</w:t>
      </w:r>
      <w:r w:rsidR="002E273E" w:rsidRPr="00830617">
        <w:t xml:space="preserve"> </w:t>
      </w:r>
    </w:p>
    <w:p w14:paraId="4FF41129" w14:textId="77777777" w:rsidR="003A68AC" w:rsidRPr="00830617" w:rsidRDefault="003A68AC" w:rsidP="003A68AC">
      <w:pPr>
        <w:pStyle w:val="Heading3"/>
      </w:pPr>
      <w:r w:rsidRPr="00830617">
        <w:rPr>
          <w:b/>
        </w:rPr>
        <w:t>OBIETTIVO DEL CORSO e risultati di apprendimento attesi</w:t>
      </w:r>
    </w:p>
    <w:p w14:paraId="61433612" w14:textId="392CEFB5" w:rsidR="003A68AC" w:rsidRPr="00830617" w:rsidRDefault="003A68AC" w:rsidP="003A68AC">
      <w:r w:rsidRPr="00830617">
        <w:tab/>
        <w:t xml:space="preserve">Il corso propone un’introduzione alla filosofia e alla teoria generale del diritto nella prospettiva delle interazioni tra conoscenza e normatività, con particolare riferimento al rapporto contemporaneo tra scienza, tecnologia e diritto nelle società democratiche. Se l’intreccio tra dimensioni epistemiche e normative ha rappresentato un elemento costante nella riflessione sui fondamenti del discorso filosofico-giuridico, nella modernità i modelli scientifici di conoscenza hanno costituito il punto di riferimento ideale nella elaborazione teorica del diritto positivo, che asintoticamente rincorre oggettività e certezza del metodo della scienza. Nelle odierne società della conoscenza e dell’innovazione, tuttavia, le tecnoscienze incidono direttamente su forma e contenuti delle norme, mentre etica e diritto  sono diventate parte integrante dell’implementazione sociale di scienza e tecnologia. Le crescenti dimensioni di incertezza scientifica, inoltre, dalle pandemie agli imprevedibili sviluppi della rivoluzione digitale, </w:t>
      </w:r>
      <w:r w:rsidR="0076458B">
        <w:t xml:space="preserve">da un lato </w:t>
      </w:r>
      <w:r w:rsidRPr="00830617">
        <w:t>hanno fatto emergere il complesso legame di coproduzione tra tecnoscienza e diritto</w:t>
      </w:r>
      <w:r w:rsidR="0076458B">
        <w:t>, dall’altro hanno fatto emergere la necessità di ricorrere a strumenti di regolazione nuovi e spesso di soft law</w:t>
      </w:r>
      <w:r w:rsidRPr="00830617">
        <w:t>. Ciò significa che il diritto deve sempre più legittimarsi, non con un puro rimando alle evidenze scientifiche, ma attraverso la chiarificazione delle scelte giuridiche nell’adozione di</w:t>
      </w:r>
      <w:r w:rsidR="0076458B">
        <w:t xml:space="preserve"> specifici scenari scientifici; e che le interazioni tra il legislatore e i cittadini implican</w:t>
      </w:r>
      <w:bookmarkStart w:id="0" w:name="_GoBack"/>
      <w:bookmarkEnd w:id="0"/>
      <w:r w:rsidR="0076458B">
        <w:t xml:space="preserve">o nuovi rapporti di delega sulla conoscenza e la responsabilità individuali.  </w:t>
      </w:r>
      <w:r w:rsidRPr="00830617">
        <w:t xml:space="preserve"> L’obiettivo è comprendere e seguire il radicale ripensamento di alcune categorie tradizionali della riflessione filosofico-giuridica occidentale sotto la spinta dei processi di conoscenza e innovazione. </w:t>
      </w:r>
    </w:p>
    <w:p w14:paraId="6A7E4B1F" w14:textId="77777777" w:rsidR="003A68AC" w:rsidRPr="00830617" w:rsidRDefault="003A68AC" w:rsidP="003A68AC">
      <w:r w:rsidRPr="00830617">
        <w:t>Al termine del corso lo studente conosce</w:t>
      </w:r>
      <w:r>
        <w:t>rà</w:t>
      </w:r>
      <w:r w:rsidRPr="00830617">
        <w:t xml:space="preserve"> le principali linee teoriche che hanno percorso storia della filosofia del diritto e teoria generale del diritto, e </w:t>
      </w:r>
      <w:r>
        <w:t xml:space="preserve">avrà </w:t>
      </w:r>
      <w:r w:rsidRPr="00830617">
        <w:t xml:space="preserve">acquisito la capacità di collegare tali prospettive ai rapporti tra diritto e scienza. </w:t>
      </w:r>
    </w:p>
    <w:p w14:paraId="0A14C466" w14:textId="77777777" w:rsidR="003A68AC" w:rsidRPr="00830617" w:rsidRDefault="003A68AC" w:rsidP="003A68AC">
      <w:pPr>
        <w:spacing w:before="240" w:after="120"/>
        <w:rPr>
          <w:b/>
          <w:i/>
          <w:sz w:val="18"/>
        </w:rPr>
      </w:pPr>
      <w:r w:rsidRPr="00830617">
        <w:rPr>
          <w:b/>
          <w:i/>
          <w:sz w:val="18"/>
        </w:rPr>
        <w:t>PROGRAMMA DEL CORSO</w:t>
      </w:r>
    </w:p>
    <w:p w14:paraId="59BF3241" w14:textId="77777777" w:rsidR="003A68AC" w:rsidRPr="001F3CC9" w:rsidRDefault="003A68AC" w:rsidP="003A68AC">
      <w:r w:rsidRPr="00830617">
        <w:tab/>
        <w:t>Il corso si articola in due parti: la prima, di carattere generale, propone un excursus storico s</w:t>
      </w:r>
      <w:r w:rsidRPr="00830617">
        <w:rPr>
          <w:color w:val="000000" w:themeColor="text1"/>
        </w:rPr>
        <w:t xml:space="preserve">ui rapporti tra conoscenza e normatività in relazione a filosofia e teoria del diritto; la seconda è dedicata all’approfondimento dei rapporti contemporanei tra scienza e diritto, con particolare riferimento alla regolazione </w:t>
      </w:r>
      <w:r w:rsidRPr="00830617">
        <w:rPr>
          <w:color w:val="000000" w:themeColor="text1"/>
        </w:rPr>
        <w:lastRenderedPageBreak/>
        <w:t>giuridica dell’incertezza scientifica nelle scienze della vita e nelle scienze dell’artificiale</w:t>
      </w:r>
      <w:r w:rsidRPr="001F3CC9">
        <w:t xml:space="preserve">.    </w:t>
      </w:r>
    </w:p>
    <w:p w14:paraId="2DCF1354" w14:textId="77777777" w:rsidR="009467C0" w:rsidRDefault="009467C0" w:rsidP="003A68AC">
      <w:pPr>
        <w:spacing w:before="240" w:after="120"/>
        <w:rPr>
          <w:b/>
          <w:i/>
          <w:sz w:val="18"/>
        </w:rPr>
      </w:pPr>
    </w:p>
    <w:p w14:paraId="16F7C01B" w14:textId="063B58EC" w:rsidR="003A68AC" w:rsidRPr="001F3CC9" w:rsidRDefault="003A68AC" w:rsidP="003A68AC">
      <w:pPr>
        <w:spacing w:before="240" w:after="120"/>
        <w:rPr>
          <w:b/>
          <w:i/>
          <w:sz w:val="18"/>
        </w:rPr>
      </w:pPr>
      <w:r w:rsidRPr="001F3CC9">
        <w:rPr>
          <w:b/>
          <w:i/>
          <w:sz w:val="18"/>
        </w:rPr>
        <w:t>BIBLIOGRAFIA</w:t>
      </w:r>
    </w:p>
    <w:p w14:paraId="68ED47D9" w14:textId="4B20CA34" w:rsidR="00D356A6" w:rsidRPr="001F3CC9" w:rsidRDefault="0086401C" w:rsidP="00D356A6">
      <w:r w:rsidRPr="001F3CC9">
        <w:t>Per tutti gli studenti (frequentanti e non-frequentanti) i</w:t>
      </w:r>
      <w:r w:rsidR="00D356A6" w:rsidRPr="001F3CC9">
        <w:t xml:space="preserve"> </w:t>
      </w:r>
      <w:r w:rsidR="003A68AC" w:rsidRPr="001F3CC9">
        <w:t xml:space="preserve">testi </w:t>
      </w:r>
      <w:r w:rsidR="00D356A6" w:rsidRPr="001F3CC9">
        <w:t xml:space="preserve">(articoli e saggi) </w:t>
      </w:r>
      <w:r w:rsidR="003A68AC" w:rsidRPr="001F3CC9">
        <w:t xml:space="preserve">per la preparazione </w:t>
      </w:r>
      <w:r w:rsidR="00D356A6" w:rsidRPr="001F3CC9">
        <w:t xml:space="preserve">della prima parte </w:t>
      </w:r>
      <w:r w:rsidR="003A68AC" w:rsidRPr="001F3CC9">
        <w:t xml:space="preserve">dell’esame </w:t>
      </w:r>
      <w:r w:rsidR="00D356A6" w:rsidRPr="001F3CC9">
        <w:t>(elementi di teoria generale e filosofia del diritto)</w:t>
      </w:r>
      <w:r w:rsidR="003A68AC" w:rsidRPr="001F3CC9">
        <w:t xml:space="preserve"> saranno resi disponibili online </w:t>
      </w:r>
      <w:r w:rsidR="00D356A6" w:rsidRPr="001F3CC9">
        <w:t>all’inizio de</w:t>
      </w:r>
      <w:r w:rsidR="003A68AC" w:rsidRPr="001F3CC9">
        <w:t>l corso.</w:t>
      </w:r>
      <w:r w:rsidR="00D356A6" w:rsidRPr="001F3CC9">
        <w:t xml:space="preserve"> Per la seconda parte del corso (scienza e diritto) il testo di riferimento sarà: N. Pitrelli, M. Tallacchini, Nuova scienza, nuova politica. Per una democrazia della conoscenza, Libellula, Tricase 2021.</w:t>
      </w:r>
    </w:p>
    <w:p w14:paraId="7F64FF36" w14:textId="77777777" w:rsidR="003A68AC" w:rsidRPr="001F3CC9" w:rsidRDefault="003A68AC" w:rsidP="003A68AC">
      <w:pPr>
        <w:spacing w:before="240" w:after="120" w:line="220" w:lineRule="exact"/>
        <w:rPr>
          <w:b/>
          <w:i/>
          <w:sz w:val="18"/>
        </w:rPr>
      </w:pPr>
      <w:r w:rsidRPr="001F3CC9">
        <w:rPr>
          <w:b/>
          <w:i/>
          <w:sz w:val="18"/>
        </w:rPr>
        <w:t>DIDATTICA DEL CORSO</w:t>
      </w:r>
    </w:p>
    <w:p w14:paraId="609FC5C2" w14:textId="77777777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Lezioni frontali, uso di strumenti multimediali, interventi di esperti esterni, discussioni ed esercitazioni in aula. </w:t>
      </w:r>
    </w:p>
    <w:p w14:paraId="6C728927" w14:textId="77777777" w:rsidR="003A68AC" w:rsidRPr="001F3CC9" w:rsidRDefault="003A68AC" w:rsidP="003A68AC">
      <w:pPr>
        <w:spacing w:before="240" w:after="120" w:line="220" w:lineRule="exact"/>
        <w:rPr>
          <w:b/>
          <w:i/>
          <w:sz w:val="18"/>
        </w:rPr>
      </w:pPr>
      <w:r w:rsidRPr="001F3CC9">
        <w:rPr>
          <w:b/>
          <w:i/>
          <w:sz w:val="18"/>
        </w:rPr>
        <w:t>METODO E CRITERI DI VALUTAZIONE</w:t>
      </w:r>
    </w:p>
    <w:p w14:paraId="010489AB" w14:textId="05634B16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Per gli studenti frequentanti la preparazione verrà valutata attraverso un lavoro di gruppo e una prova scritta individuale. Il lavoro di gruppo mostrerà la capacità di elaborare in forma collaborativa e creativa temi </w:t>
      </w:r>
      <w:r w:rsidR="00DA0261" w:rsidRPr="001F3CC9">
        <w:rPr>
          <w:sz w:val="20"/>
        </w:rPr>
        <w:t xml:space="preserve">innovativi </w:t>
      </w:r>
      <w:r w:rsidRPr="001F3CC9">
        <w:rPr>
          <w:sz w:val="20"/>
        </w:rPr>
        <w:t>all’interfaccia tra scienza e diritto. La pr</w:t>
      </w:r>
      <w:r w:rsidR="00DA0261" w:rsidRPr="001F3CC9">
        <w:rPr>
          <w:sz w:val="20"/>
        </w:rPr>
        <w:t xml:space="preserve">ova scritta, composta di </w:t>
      </w:r>
      <w:r w:rsidR="00C34FFA" w:rsidRPr="001F3CC9">
        <w:rPr>
          <w:sz w:val="20"/>
        </w:rPr>
        <w:t xml:space="preserve">15 </w:t>
      </w:r>
      <w:r w:rsidR="00DA0261" w:rsidRPr="001F3CC9">
        <w:rPr>
          <w:sz w:val="20"/>
        </w:rPr>
        <w:t>domande</w:t>
      </w:r>
      <w:r w:rsidRPr="001F3CC9">
        <w:rPr>
          <w:sz w:val="20"/>
        </w:rPr>
        <w:t xml:space="preserve"> a risposta multipla e </w:t>
      </w:r>
      <w:r w:rsidR="00C34FFA" w:rsidRPr="001F3CC9">
        <w:rPr>
          <w:sz w:val="20"/>
        </w:rPr>
        <w:t xml:space="preserve">2 domande </w:t>
      </w:r>
      <w:r w:rsidRPr="001F3CC9">
        <w:rPr>
          <w:sz w:val="20"/>
        </w:rPr>
        <w:t xml:space="preserve">aperte (ognuna 50% del voto parziale) valuterà la conoscenza e l’approfondimento delle questioni affrontate nel corso. Interventi e partecipazione attiva al corso costituiranno ulteriori elementi di verifica. Il voto finale per i frequentanti sarà calcolato come segue: </w:t>
      </w:r>
      <w:r w:rsidR="00DA0261" w:rsidRPr="001F3CC9">
        <w:rPr>
          <w:sz w:val="20"/>
        </w:rPr>
        <w:t>50% prova scritta; 4</w:t>
      </w:r>
      <w:r w:rsidRPr="001F3CC9">
        <w:rPr>
          <w:sz w:val="20"/>
        </w:rPr>
        <w:t xml:space="preserve">0% lavoro di gruppo; 10% partecipazione alle attività del corso.   </w:t>
      </w:r>
    </w:p>
    <w:p w14:paraId="26221933" w14:textId="0C2C8C71" w:rsidR="003A68AC" w:rsidRPr="001F3CC9" w:rsidRDefault="003A68AC" w:rsidP="003A68AC">
      <w:pPr>
        <w:pStyle w:val="Testo2"/>
        <w:rPr>
          <w:sz w:val="20"/>
        </w:rPr>
      </w:pPr>
      <w:r w:rsidRPr="001F3CC9">
        <w:rPr>
          <w:sz w:val="20"/>
        </w:rPr>
        <w:t xml:space="preserve">La preparazione degli studenti non frequentanti verrà valutata attraverso una prova scritta individuale composta di </w:t>
      </w:r>
      <w:r w:rsidR="00DA0261" w:rsidRPr="001F3CC9">
        <w:rPr>
          <w:sz w:val="20"/>
        </w:rPr>
        <w:t xml:space="preserve">30 </w:t>
      </w:r>
      <w:r w:rsidRPr="001F3CC9">
        <w:rPr>
          <w:sz w:val="20"/>
        </w:rPr>
        <w:t>domand</w:t>
      </w:r>
      <w:r w:rsidR="00DA0261" w:rsidRPr="001F3CC9">
        <w:rPr>
          <w:sz w:val="20"/>
        </w:rPr>
        <w:t>e</w:t>
      </w:r>
      <w:r w:rsidRPr="001F3CC9">
        <w:rPr>
          <w:sz w:val="20"/>
        </w:rPr>
        <w:t xml:space="preserve"> a risposta multipla </w:t>
      </w:r>
      <w:r w:rsidR="00C34FFA" w:rsidRPr="001F3CC9">
        <w:rPr>
          <w:sz w:val="20"/>
        </w:rPr>
        <w:t xml:space="preserve">(50% del voto) </w:t>
      </w:r>
      <w:r w:rsidRPr="001F3CC9">
        <w:rPr>
          <w:sz w:val="20"/>
        </w:rPr>
        <w:t xml:space="preserve">e </w:t>
      </w:r>
      <w:r w:rsidR="00DA0261" w:rsidRPr="001F3CC9">
        <w:rPr>
          <w:sz w:val="20"/>
        </w:rPr>
        <w:t xml:space="preserve">di 4 domande </w:t>
      </w:r>
      <w:r w:rsidRPr="001F3CC9">
        <w:rPr>
          <w:sz w:val="20"/>
        </w:rPr>
        <w:t xml:space="preserve">aperte </w:t>
      </w:r>
      <w:r w:rsidR="00C34FFA" w:rsidRPr="001F3CC9">
        <w:rPr>
          <w:sz w:val="20"/>
        </w:rPr>
        <w:t xml:space="preserve">(50% del voto) </w:t>
      </w:r>
      <w:r w:rsidRPr="001F3CC9">
        <w:rPr>
          <w:sz w:val="20"/>
        </w:rPr>
        <w:t>sulla conoscenza e l’approfondimento dei materiali (saggi e articoli).</w:t>
      </w:r>
    </w:p>
    <w:p w14:paraId="052D7639" w14:textId="77777777" w:rsidR="003A68AC" w:rsidRPr="00830617" w:rsidRDefault="003A68AC" w:rsidP="003A68AC">
      <w:pPr>
        <w:pStyle w:val="Testo2"/>
        <w:rPr>
          <w:sz w:val="20"/>
        </w:rPr>
      </w:pPr>
    </w:p>
    <w:p w14:paraId="3C1D2CA1" w14:textId="77777777" w:rsidR="003A68AC" w:rsidRPr="00830617" w:rsidRDefault="003A68AC" w:rsidP="003A68AC">
      <w:pPr>
        <w:pStyle w:val="Testo2"/>
        <w:rPr>
          <w:sz w:val="20"/>
        </w:rPr>
      </w:pPr>
    </w:p>
    <w:p w14:paraId="4645FC5C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  <w:r w:rsidRPr="00830617">
        <w:rPr>
          <w:rFonts w:eastAsia="MS Mincho"/>
          <w:b/>
          <w:i/>
          <w:sz w:val="18"/>
          <w:lang w:eastAsia="it-IT"/>
        </w:rPr>
        <w:t xml:space="preserve">AVVERTENZE E PREREQUISITI </w:t>
      </w:r>
    </w:p>
    <w:p w14:paraId="05EF2BBE" w14:textId="77777777" w:rsidR="003A68AC" w:rsidRPr="00830617" w:rsidRDefault="003A68AC" w:rsidP="003A68AC">
      <w:pPr>
        <w:spacing w:line="240" w:lineRule="auto"/>
        <w:rPr>
          <w:rFonts w:eastAsia="MS Mincho"/>
          <w:b/>
          <w:i/>
          <w:sz w:val="18"/>
          <w:lang w:eastAsia="it-IT"/>
        </w:rPr>
      </w:pPr>
    </w:p>
    <w:p w14:paraId="436DD517" w14:textId="77777777" w:rsidR="003A68AC" w:rsidRPr="00830617" w:rsidRDefault="003A68AC" w:rsidP="003A68AC">
      <w:pPr>
        <w:spacing w:line="240" w:lineRule="auto"/>
      </w:pPr>
      <w:r w:rsidRPr="00830617">
        <w:rPr>
          <w:rFonts w:eastAsia="MS Mincho"/>
          <w:b/>
          <w:i/>
          <w:lang w:eastAsia="it-IT"/>
        </w:rPr>
        <w:t xml:space="preserve">      </w:t>
      </w:r>
      <w:r w:rsidRPr="00830617">
        <w:t xml:space="preserve">Il corso è teso a incoraggiare e favorire la partecipazione degli studenti alle </w:t>
      </w:r>
    </w:p>
    <w:p w14:paraId="6794AE9E" w14:textId="77777777" w:rsidR="003A68AC" w:rsidRPr="00830617" w:rsidRDefault="003A68AC" w:rsidP="003A68AC">
      <w:pPr>
        <w:spacing w:line="220" w:lineRule="exact"/>
        <w:ind w:left="-144"/>
        <w:rPr>
          <w:sz w:val="18"/>
          <w:szCs w:val="18"/>
        </w:rPr>
      </w:pPr>
      <w:r w:rsidRPr="00830617">
        <w:t>lezioni. Non è previsto alcun prerequisito per la preparazione dell’esame</w:t>
      </w:r>
      <w:r w:rsidRPr="00830617">
        <w:rPr>
          <w:sz w:val="18"/>
          <w:szCs w:val="18"/>
        </w:rPr>
        <w:t>.</w:t>
      </w:r>
    </w:p>
    <w:p w14:paraId="4DFBC661" w14:textId="77777777" w:rsidR="003A68AC" w:rsidRPr="00830617" w:rsidRDefault="003A68AC" w:rsidP="003A68AC">
      <w:pPr>
        <w:spacing w:after="120" w:line="220" w:lineRule="exact"/>
      </w:pPr>
    </w:p>
    <w:p w14:paraId="4EF64F0E" w14:textId="77777777" w:rsidR="003A68AC" w:rsidRPr="00830617" w:rsidRDefault="003A68AC" w:rsidP="003A68AC">
      <w:pPr>
        <w:spacing w:after="120" w:line="220" w:lineRule="exact"/>
      </w:pPr>
      <w:r w:rsidRPr="00830617">
        <w:rPr>
          <w:rFonts w:eastAsia="MS Mincho"/>
          <w:b/>
          <w:i/>
          <w:sz w:val="18"/>
          <w:lang w:eastAsia="it-IT"/>
        </w:rPr>
        <w:t>ORARIO E LUOGO DI RICEVIMENTO DEGLI STUDENTI</w:t>
      </w:r>
    </w:p>
    <w:p w14:paraId="5A43A16E" w14:textId="01FFE729" w:rsidR="003A68AC" w:rsidRPr="007E416B" w:rsidRDefault="00C34FFA" w:rsidP="003A68AC">
      <w:pPr>
        <w:spacing w:line="220" w:lineRule="exact"/>
        <w:ind w:firstLine="284"/>
        <w:rPr>
          <w:noProof/>
          <w:color w:val="000000" w:themeColor="text1"/>
          <w:lang w:eastAsia="it-IT"/>
        </w:rPr>
      </w:pPr>
      <w:r>
        <w:rPr>
          <w:noProof/>
          <w:lang w:eastAsia="it-IT"/>
        </w:rPr>
        <w:lastRenderedPageBreak/>
        <w:t xml:space="preserve">Gli </w:t>
      </w:r>
      <w:r w:rsidR="003A68AC" w:rsidRPr="00830617">
        <w:rPr>
          <w:noProof/>
          <w:lang w:eastAsia="it-IT"/>
        </w:rPr>
        <w:t xml:space="preserve">orari di ricevimento degli studenti sono disponibili online nella pagina web della docente: </w:t>
      </w:r>
      <w:hyperlink r:id="rId9" w:history="1">
        <w:r w:rsidR="003A68AC" w:rsidRPr="00830617">
          <w:rPr>
            <w:rStyle w:val="Hyperlink"/>
            <w:noProof/>
            <w:lang w:eastAsia="it-IT"/>
          </w:rPr>
          <w:t>http://docenti.unicatt.it/</w:t>
        </w:r>
      </w:hyperlink>
      <w:r w:rsidR="003A68AC" w:rsidRPr="00830617">
        <w:rPr>
          <w:rStyle w:val="Hyperlink"/>
          <w:noProof/>
          <w:color w:val="000000" w:themeColor="text1"/>
          <w:u w:val="none"/>
          <w:lang w:eastAsia="it-IT"/>
        </w:rPr>
        <w:t xml:space="preserve"> e nel sito del corso</w:t>
      </w:r>
      <w:r w:rsidR="00DA0261">
        <w:rPr>
          <w:rStyle w:val="Hyperlink"/>
          <w:noProof/>
          <w:color w:val="000000" w:themeColor="text1"/>
          <w:u w:val="none"/>
          <w:lang w:eastAsia="it-IT"/>
        </w:rPr>
        <w:t xml:space="preserve"> sulla piattaforma Blackboard</w:t>
      </w:r>
      <w:r w:rsidR="003A68AC" w:rsidRPr="00830617">
        <w:rPr>
          <w:rStyle w:val="Hyperlink"/>
          <w:noProof/>
          <w:color w:val="000000" w:themeColor="text1"/>
          <w:u w:val="none"/>
          <w:lang w:eastAsia="it-IT"/>
        </w:rPr>
        <w:t>.</w:t>
      </w:r>
    </w:p>
    <w:p w14:paraId="1C072432" w14:textId="77777777" w:rsidR="003A68AC" w:rsidRPr="003A68AC" w:rsidRDefault="003A68AC" w:rsidP="003A68AC">
      <w:pPr>
        <w:pStyle w:val="Heading3"/>
      </w:pPr>
    </w:p>
    <w:sectPr w:rsidR="003A68AC" w:rsidRPr="003A68AC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22AD5" w16cid:durableId="208D5DE0"/>
  <w16cid:commentId w16cid:paraId="5E01F8D5" w16cid:durableId="208D5E6E"/>
  <w16cid:commentId w16cid:paraId="0CB3D9DA" w16cid:durableId="208D5E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6D"/>
    <w:rsid w:val="000053D8"/>
    <w:rsid w:val="00006B6B"/>
    <w:rsid w:val="00013C50"/>
    <w:rsid w:val="00021023"/>
    <w:rsid w:val="000362BA"/>
    <w:rsid w:val="00036C15"/>
    <w:rsid w:val="0004446D"/>
    <w:rsid w:val="000A0D10"/>
    <w:rsid w:val="000B5663"/>
    <w:rsid w:val="000C0632"/>
    <w:rsid w:val="000C3288"/>
    <w:rsid w:val="0014094E"/>
    <w:rsid w:val="00151390"/>
    <w:rsid w:val="00182BA1"/>
    <w:rsid w:val="001F3CC9"/>
    <w:rsid w:val="00204B9B"/>
    <w:rsid w:val="00216760"/>
    <w:rsid w:val="00216F3F"/>
    <w:rsid w:val="00246A88"/>
    <w:rsid w:val="00277A84"/>
    <w:rsid w:val="002B508C"/>
    <w:rsid w:val="002B7BAF"/>
    <w:rsid w:val="002C0A12"/>
    <w:rsid w:val="002D15A7"/>
    <w:rsid w:val="002E273E"/>
    <w:rsid w:val="002E6F72"/>
    <w:rsid w:val="00374546"/>
    <w:rsid w:val="003971C1"/>
    <w:rsid w:val="003A68AC"/>
    <w:rsid w:val="003D355C"/>
    <w:rsid w:val="003F7983"/>
    <w:rsid w:val="00404415"/>
    <w:rsid w:val="004270A1"/>
    <w:rsid w:val="00432CFA"/>
    <w:rsid w:val="004851BF"/>
    <w:rsid w:val="004A2248"/>
    <w:rsid w:val="004A6AFD"/>
    <w:rsid w:val="004B5E44"/>
    <w:rsid w:val="004D120F"/>
    <w:rsid w:val="004E7C19"/>
    <w:rsid w:val="005105A1"/>
    <w:rsid w:val="005276E1"/>
    <w:rsid w:val="00541671"/>
    <w:rsid w:val="00575844"/>
    <w:rsid w:val="005827CF"/>
    <w:rsid w:val="00585CE9"/>
    <w:rsid w:val="00596C54"/>
    <w:rsid w:val="005B1586"/>
    <w:rsid w:val="005B514C"/>
    <w:rsid w:val="005C56A1"/>
    <w:rsid w:val="005D3325"/>
    <w:rsid w:val="005D75BD"/>
    <w:rsid w:val="005F72C9"/>
    <w:rsid w:val="00640798"/>
    <w:rsid w:val="006504CF"/>
    <w:rsid w:val="00653292"/>
    <w:rsid w:val="00660302"/>
    <w:rsid w:val="00666115"/>
    <w:rsid w:val="00677D70"/>
    <w:rsid w:val="006806EF"/>
    <w:rsid w:val="00683ED6"/>
    <w:rsid w:val="006854A9"/>
    <w:rsid w:val="00685590"/>
    <w:rsid w:val="00690935"/>
    <w:rsid w:val="006A0C2D"/>
    <w:rsid w:val="006A79B3"/>
    <w:rsid w:val="006B185F"/>
    <w:rsid w:val="00757BB2"/>
    <w:rsid w:val="0076458B"/>
    <w:rsid w:val="007854CA"/>
    <w:rsid w:val="007A29A7"/>
    <w:rsid w:val="007B7C1A"/>
    <w:rsid w:val="007E416B"/>
    <w:rsid w:val="00821474"/>
    <w:rsid w:val="008263F6"/>
    <w:rsid w:val="00830617"/>
    <w:rsid w:val="0086401C"/>
    <w:rsid w:val="008B22D7"/>
    <w:rsid w:val="008C5A02"/>
    <w:rsid w:val="008E46D9"/>
    <w:rsid w:val="008E510D"/>
    <w:rsid w:val="009467C0"/>
    <w:rsid w:val="00997E7E"/>
    <w:rsid w:val="009A2A46"/>
    <w:rsid w:val="009B42DE"/>
    <w:rsid w:val="009B7C46"/>
    <w:rsid w:val="009C005C"/>
    <w:rsid w:val="009C26D5"/>
    <w:rsid w:val="009E4233"/>
    <w:rsid w:val="009E6AFE"/>
    <w:rsid w:val="009F5E76"/>
    <w:rsid w:val="009F6725"/>
    <w:rsid w:val="00A30178"/>
    <w:rsid w:val="00A86197"/>
    <w:rsid w:val="00A96ADB"/>
    <w:rsid w:val="00A979B4"/>
    <w:rsid w:val="00AA0B5D"/>
    <w:rsid w:val="00AC4686"/>
    <w:rsid w:val="00AF3C9A"/>
    <w:rsid w:val="00B02521"/>
    <w:rsid w:val="00B1380E"/>
    <w:rsid w:val="00B372AA"/>
    <w:rsid w:val="00B37DBF"/>
    <w:rsid w:val="00B756D0"/>
    <w:rsid w:val="00B76455"/>
    <w:rsid w:val="00B96E61"/>
    <w:rsid w:val="00BB3D53"/>
    <w:rsid w:val="00BC7E81"/>
    <w:rsid w:val="00C34FFA"/>
    <w:rsid w:val="00C35D45"/>
    <w:rsid w:val="00C65B2B"/>
    <w:rsid w:val="00C678DE"/>
    <w:rsid w:val="00C96DCB"/>
    <w:rsid w:val="00CD3FF1"/>
    <w:rsid w:val="00CE0533"/>
    <w:rsid w:val="00CE2E0F"/>
    <w:rsid w:val="00D356A6"/>
    <w:rsid w:val="00D56291"/>
    <w:rsid w:val="00D83532"/>
    <w:rsid w:val="00D94867"/>
    <w:rsid w:val="00DA0261"/>
    <w:rsid w:val="00DE7047"/>
    <w:rsid w:val="00E102B4"/>
    <w:rsid w:val="00E1117D"/>
    <w:rsid w:val="00E23584"/>
    <w:rsid w:val="00EA351E"/>
    <w:rsid w:val="00ED1818"/>
    <w:rsid w:val="00EE46D5"/>
    <w:rsid w:val="00F079BD"/>
    <w:rsid w:val="00F17F6E"/>
    <w:rsid w:val="00F30F8F"/>
    <w:rsid w:val="00F3283E"/>
    <w:rsid w:val="00F53D5B"/>
    <w:rsid w:val="00F87FE5"/>
    <w:rsid w:val="00FC6A90"/>
    <w:rsid w:val="00FD3A6C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C10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Heading1">
    <w:name w:val="heading 1"/>
    <w:next w:val="Heading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Heading2">
    <w:name w:val="heading 2"/>
    <w:next w:val="Heading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Heading3">
    <w:name w:val="heading 3"/>
    <w:next w:val="Normal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"/>
    <w:rsid w:val="00A86197"/>
    <w:pPr>
      <w:tabs>
        <w:tab w:val="clear" w:pos="284"/>
      </w:tabs>
      <w:spacing w:line="240" w:lineRule="auto"/>
    </w:pPr>
    <w:rPr>
      <w:rFonts w:ascii="Times New Roman" w:hAnsi="Times New Roman"/>
      <w:lang w:val="en-GB"/>
    </w:rPr>
  </w:style>
  <w:style w:type="paragraph" w:styleId="HTMLPreformatted">
    <w:name w:val="HTML Preformatted"/>
    <w:basedOn w:val="Normal"/>
    <w:link w:val="HTMLPreformattedChar"/>
    <w:rsid w:val="00FC6A90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C6A90"/>
    <w:rPr>
      <w:rFonts w:ascii="Courier New" w:hAnsi="Courier New" w:cs="Courier New"/>
      <w:lang w:val="it-IT" w:eastAsia="ar-SA"/>
    </w:rPr>
  </w:style>
  <w:style w:type="character" w:styleId="Hyperlink">
    <w:name w:val="Hyperlink"/>
    <w:basedOn w:val="DefaultParagraphFont"/>
    <w:uiPriority w:val="99"/>
    <w:unhideWhenUsed/>
    <w:rsid w:val="002E6F72"/>
    <w:rPr>
      <w:color w:val="0000FF"/>
      <w:u w:val="single"/>
    </w:rPr>
  </w:style>
  <w:style w:type="character" w:styleId="CommentReference">
    <w:name w:val="annotation reference"/>
    <w:basedOn w:val="DefaultParagraphFont"/>
    <w:rsid w:val="00B025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5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2521"/>
    <w:rPr>
      <w:rFonts w:ascii="Times" w:hAnsi="Times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521"/>
    <w:rPr>
      <w:rFonts w:ascii="Times" w:hAnsi="Times"/>
      <w:b/>
      <w:bCs/>
      <w:lang w:eastAsia="ar-SA"/>
    </w:rPr>
  </w:style>
  <w:style w:type="paragraph" w:styleId="BalloonText">
    <w:name w:val="Balloon Text"/>
    <w:basedOn w:val="Normal"/>
    <w:link w:val="BalloonTextChar"/>
    <w:rsid w:val="00B0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5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lang w:eastAsia="ar-SA"/>
    </w:rPr>
  </w:style>
  <w:style w:type="paragraph" w:styleId="Heading1">
    <w:name w:val="heading 1"/>
    <w:next w:val="Heading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/>
      <w:b/>
      <w:lang w:eastAsia="ar-SA"/>
    </w:rPr>
  </w:style>
  <w:style w:type="paragraph" w:styleId="Heading2">
    <w:name w:val="heading 2"/>
    <w:next w:val="Heading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/>
      <w:smallCaps/>
      <w:sz w:val="18"/>
      <w:lang w:eastAsia="ar-SA"/>
    </w:rPr>
  </w:style>
  <w:style w:type="paragraph" w:styleId="Heading3">
    <w:name w:val="heading 3"/>
    <w:next w:val="Normal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/>
      <w:i/>
      <w:caps/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Intestazione1">
    <w:name w:val="Intestazione1"/>
    <w:basedOn w:val="Normal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styleId="List">
    <w:name w:val="List"/>
    <w:basedOn w:val="Corpodeltesto"/>
    <w:rPr>
      <w:rFonts w:cs="Mangal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eastAsia="Arial" w:hAnsi="Times"/>
      <w:sz w:val="18"/>
      <w:lang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eastAsia="Arial" w:hAnsi="Times"/>
      <w:sz w:val="18"/>
      <w:lang w:eastAsia="ar-SA"/>
    </w:rPr>
  </w:style>
  <w:style w:type="paragraph" w:customStyle="1" w:styleId="Corpodeltesto21">
    <w:name w:val="Corpo del testo 21"/>
    <w:basedOn w:val="Normal"/>
    <w:rsid w:val="00A86197"/>
    <w:pPr>
      <w:tabs>
        <w:tab w:val="clear" w:pos="284"/>
      </w:tabs>
      <w:spacing w:line="240" w:lineRule="auto"/>
    </w:pPr>
    <w:rPr>
      <w:rFonts w:ascii="Times New Roman" w:hAnsi="Times New Roman"/>
      <w:lang w:val="en-GB"/>
    </w:rPr>
  </w:style>
  <w:style w:type="paragraph" w:styleId="HTMLPreformatted">
    <w:name w:val="HTML Preformatted"/>
    <w:basedOn w:val="Normal"/>
    <w:link w:val="HTMLPreformattedChar"/>
    <w:rsid w:val="00FC6A90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C6A90"/>
    <w:rPr>
      <w:rFonts w:ascii="Courier New" w:hAnsi="Courier New" w:cs="Courier New"/>
      <w:lang w:val="it-IT" w:eastAsia="ar-SA"/>
    </w:rPr>
  </w:style>
  <w:style w:type="character" w:styleId="Hyperlink">
    <w:name w:val="Hyperlink"/>
    <w:basedOn w:val="DefaultParagraphFont"/>
    <w:uiPriority w:val="99"/>
    <w:unhideWhenUsed/>
    <w:rsid w:val="002E6F72"/>
    <w:rPr>
      <w:color w:val="0000FF"/>
      <w:u w:val="single"/>
    </w:rPr>
  </w:style>
  <w:style w:type="character" w:styleId="CommentReference">
    <w:name w:val="annotation reference"/>
    <w:basedOn w:val="DefaultParagraphFont"/>
    <w:rsid w:val="00B025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5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02521"/>
    <w:rPr>
      <w:rFonts w:ascii="Times" w:hAnsi="Times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B02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2521"/>
    <w:rPr>
      <w:rFonts w:ascii="Times" w:hAnsi="Times"/>
      <w:b/>
      <w:bCs/>
      <w:lang w:eastAsia="ar-SA"/>
    </w:rPr>
  </w:style>
  <w:style w:type="paragraph" w:styleId="BalloonText">
    <w:name w:val="Balloon Text"/>
    <w:basedOn w:val="Normal"/>
    <w:link w:val="BalloonTextChar"/>
    <w:rsid w:val="00B0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52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63141-D370-4B81-AB52-8349CE625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15301-5119-40B1-8A77-FC61C4E81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9A6244-ACC5-4F7F-AB10-73034AFEB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UCSC Piacenza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-</cp:lastModifiedBy>
  <cp:revision>10</cp:revision>
  <cp:lastPrinted>2009-05-13T14:22:00Z</cp:lastPrinted>
  <dcterms:created xsi:type="dcterms:W3CDTF">2021-05-20T12:33:00Z</dcterms:created>
  <dcterms:modified xsi:type="dcterms:W3CDTF">2022-05-08T10:49:00Z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