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CBE9" w14:textId="77777777" w:rsidR="003B1F9C" w:rsidRPr="006975AE" w:rsidRDefault="003B1F9C" w:rsidP="003B1F9C">
      <w:pPr>
        <w:pStyle w:val="Titolo1"/>
      </w:pPr>
      <w:r w:rsidRPr="006975AE">
        <w:t xml:space="preserve">Analisi </w:t>
      </w:r>
      <w:r w:rsidR="008A016C">
        <w:t>di Biancio e Sistemi di Controllo Aziendali</w:t>
      </w:r>
    </w:p>
    <w:p w14:paraId="1BD3941F" w14:textId="77777777" w:rsidR="003B1F9C" w:rsidRPr="006975AE" w:rsidRDefault="003B1F9C" w:rsidP="003B1F9C">
      <w:pPr>
        <w:pStyle w:val="Titolo2"/>
      </w:pPr>
      <w:r w:rsidRPr="006975AE">
        <w:t>Pro</w:t>
      </w:r>
      <w:r w:rsidR="008A016C">
        <w:t>f. Anna maria Fellegara</w:t>
      </w:r>
    </w:p>
    <w:p w14:paraId="1EE62103" w14:textId="77777777" w:rsidR="003B1F9C" w:rsidRPr="006975AE" w:rsidRDefault="003B1F9C" w:rsidP="003B1F9C">
      <w:pPr>
        <w:rPr>
          <w:b/>
        </w:rPr>
      </w:pPr>
    </w:p>
    <w:p w14:paraId="7D8D28F5" w14:textId="77777777" w:rsidR="003B1F9C" w:rsidRPr="006975AE" w:rsidRDefault="003B1F9C" w:rsidP="003B1F9C">
      <w:pPr>
        <w:spacing w:before="240" w:after="120"/>
        <w:rPr>
          <w:b/>
          <w:sz w:val="18"/>
        </w:rPr>
      </w:pPr>
      <w:r w:rsidRPr="006975AE">
        <w:rPr>
          <w:b/>
          <w:i/>
          <w:sz w:val="18"/>
        </w:rPr>
        <w:t>OBIETTIVO DEL CORSO</w:t>
      </w:r>
      <w:r w:rsidR="00DC2525">
        <w:rPr>
          <w:b/>
          <w:i/>
          <w:sz w:val="18"/>
        </w:rPr>
        <w:t xml:space="preserve"> E RISULTATI DI APPRENDIMENTO ATTESI</w:t>
      </w:r>
    </w:p>
    <w:p w14:paraId="2B693A0A" w14:textId="43147350" w:rsidR="003B1F9C" w:rsidRPr="006975AE" w:rsidRDefault="008A016C" w:rsidP="003B1F9C">
      <w:r>
        <w:t>Il corso si propone di offrire una chiave di lettura ed interpretazione dei risultati gestionali delle imprese attraverso il bilancio d’esercizio</w:t>
      </w:r>
      <w:r w:rsidR="00A376E7">
        <w:t xml:space="preserve"> e i principali indicatori utilizzati nella comunicazione economico-finanziaria. Dopo aver </w:t>
      </w:r>
      <w:r w:rsidR="005D1FD5">
        <w:t xml:space="preserve">presentato i fondamenti e le logiche del sistema contabile, approfondisce l’esame sistemico degli strumenti manageriali utili nella gestione e nella rendicontazione ai portatori di interesse. Il corso partendo dalle principali riclassificazioni del bilancio, </w:t>
      </w:r>
      <w:r>
        <w:t xml:space="preserve">propone uno schema interpretativo del sistema di indici e flussi diffusi nella prassi e ampiamente utilizzati nelle analisi della concorrenza e del merito di credito. </w:t>
      </w:r>
    </w:p>
    <w:p w14:paraId="7EE44EFF" w14:textId="0F15E8F0" w:rsidR="00471E02" w:rsidRPr="006975AE" w:rsidRDefault="00DC2525" w:rsidP="00DC2525">
      <w:r>
        <w:t>Al termine del corso, lo studente sarà in grado di analizzare e interpretare</w:t>
      </w:r>
      <w:r w:rsidR="008A016C">
        <w:t xml:space="preserve"> </w:t>
      </w:r>
      <w:r w:rsidR="005D1FD5">
        <w:t xml:space="preserve">i </w:t>
      </w:r>
      <w:r>
        <w:t xml:space="preserve">bilanci, i principali </w:t>
      </w:r>
      <w:proofErr w:type="gramStart"/>
      <w:r>
        <w:t>indici  e</w:t>
      </w:r>
      <w:proofErr w:type="gramEnd"/>
      <w:r>
        <w:t xml:space="preserve"> le</w:t>
      </w:r>
      <w:r w:rsidR="008A016C">
        <w:t xml:space="preserve"> </w:t>
      </w:r>
      <w:r w:rsidR="005D1FD5">
        <w:t xml:space="preserve">grandezze che consentono di seguire e apprezzare le </w:t>
      </w:r>
      <w:r w:rsidR="008A016C">
        <w:t>dinamiche economiche, finanziarie e patrimoniali connesse alla gestione d’impresa.</w:t>
      </w:r>
      <w:r w:rsidR="003E1F7C">
        <w:t xml:space="preserve"> Potrà apprezzare, inoltre, il contributo alla formazione di valore condiviso, in sistemi di rendicontazione integrata.</w:t>
      </w:r>
    </w:p>
    <w:p w14:paraId="17B783C7" w14:textId="77777777" w:rsidR="00205F8C" w:rsidRPr="006975AE" w:rsidRDefault="00205F8C" w:rsidP="00205F8C">
      <w:pPr>
        <w:tabs>
          <w:tab w:val="clear" w:pos="284"/>
        </w:tabs>
      </w:pPr>
    </w:p>
    <w:p w14:paraId="76471593" w14:textId="77777777" w:rsidR="003B1F9C" w:rsidRPr="006975AE" w:rsidRDefault="003B1F9C" w:rsidP="003B1F9C">
      <w:pPr>
        <w:spacing w:before="240" w:after="120"/>
        <w:rPr>
          <w:b/>
          <w:sz w:val="18"/>
        </w:rPr>
      </w:pPr>
      <w:r w:rsidRPr="006975AE">
        <w:rPr>
          <w:b/>
          <w:i/>
          <w:sz w:val="18"/>
        </w:rPr>
        <w:t>PROGRAMMA DEL CORSO</w:t>
      </w:r>
    </w:p>
    <w:p w14:paraId="20138FA8" w14:textId="77777777" w:rsidR="003B1F9C" w:rsidRDefault="008A016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Il bilancio nel sistema informativo aziendale</w:t>
      </w:r>
    </w:p>
    <w:p w14:paraId="297ADF33" w14:textId="77777777" w:rsidR="008A016C" w:rsidRDefault="008A016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Finalità delle analisi di bilancio</w:t>
      </w:r>
    </w:p>
    <w:p w14:paraId="69D15FB9" w14:textId="77777777" w:rsidR="008A016C" w:rsidRDefault="008A016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Affidabilità, funzionalità, operatività del bilancio di esercizio</w:t>
      </w:r>
    </w:p>
    <w:p w14:paraId="20521EE4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>
        <w:t>Gli asset di bilancio: valori economici e loro significato nella determinazione dei risultati ottenuti e degli equilibri aziendali</w:t>
      </w:r>
    </w:p>
    <w:p w14:paraId="0977CCC6" w14:textId="77777777" w:rsidR="008A016C" w:rsidRDefault="008A016C" w:rsidP="008A2AA7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Analisi e interpretazione del bilancio di esercizio</w:t>
      </w:r>
    </w:p>
    <w:p w14:paraId="53F78765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I limiti espressivi del bilancio d’esercizio e il loro superamento</w:t>
      </w:r>
    </w:p>
    <w:p w14:paraId="5A1201C2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>
        <w:t>Le riclassificazioni dello stato patrimoniale secondo criteri finanziari e secondo criteri operativi</w:t>
      </w:r>
    </w:p>
    <w:p w14:paraId="7FDA6808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>
        <w:t>Le principali riclassificazioni del conto economico e la capacità di rappresentare i diversi contributi della gestione alla formazione dei risultati</w:t>
      </w:r>
    </w:p>
    <w:p w14:paraId="78D60512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>
        <w:t>Determinazione e interpretazione dei principali indicatori delle performances aziendali</w:t>
      </w:r>
    </w:p>
    <w:p w14:paraId="458D81A5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Gli indicatori di bilancio</w:t>
      </w:r>
    </w:p>
    <w:p w14:paraId="60B36564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Indici di bilancio di natura finanziaria</w:t>
      </w:r>
    </w:p>
    <w:p w14:paraId="5D458DFC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 xml:space="preserve">Indici di bilancio di natura economica </w:t>
      </w:r>
    </w:p>
    <w:p w14:paraId="5064E286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Indici di bilancio di natura patrimoniale</w:t>
      </w:r>
    </w:p>
    <w:p w14:paraId="495310B0" w14:textId="77777777" w:rsidR="008A016C" w:rsidRDefault="008A016C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left="142" w:hanging="142"/>
      </w:pPr>
      <w:r>
        <w:t>Il controllo della gestione nei diversi momenti (preventivo, successivo e contestuale) e i principali strumenti di cui si avvale (cenni e rinvii)</w:t>
      </w:r>
    </w:p>
    <w:p w14:paraId="12B3F9E5" w14:textId="675851B4" w:rsidR="008A016C" w:rsidRDefault="00F60EDD" w:rsidP="008A016C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</w:pPr>
      <w:r>
        <w:t>La rendicontazione integrata e la comunicazione non finanziaria</w:t>
      </w:r>
    </w:p>
    <w:p w14:paraId="03277981" w14:textId="77777777" w:rsidR="00675646" w:rsidRDefault="003B1F9C" w:rsidP="00675646">
      <w:pPr>
        <w:keepNext/>
        <w:spacing w:before="240" w:after="120"/>
        <w:rPr>
          <w:b/>
          <w:i/>
          <w:sz w:val="18"/>
        </w:rPr>
      </w:pPr>
      <w:r w:rsidRPr="006223E7">
        <w:rPr>
          <w:b/>
          <w:i/>
          <w:sz w:val="18"/>
        </w:rPr>
        <w:lastRenderedPageBreak/>
        <w:t>BIBLIOGRAFIA</w:t>
      </w:r>
    </w:p>
    <w:p w14:paraId="0FCB3D1D" w14:textId="60838B11" w:rsidR="00F60EDD" w:rsidRPr="005D4D60" w:rsidRDefault="005D4D60" w:rsidP="00675646">
      <w:pPr>
        <w:keepNext/>
        <w:spacing w:before="240" w:after="120"/>
        <w:rPr>
          <w:noProof/>
          <w:sz w:val="18"/>
        </w:rPr>
      </w:pPr>
      <w:r w:rsidRPr="005D4D60">
        <w:rPr>
          <w:noProof/>
          <w:sz w:val="18"/>
        </w:rPr>
        <w:t>Materiali didattici e dispense a cura del docente.</w:t>
      </w:r>
    </w:p>
    <w:p w14:paraId="54D50C4F" w14:textId="77777777" w:rsidR="005D4D60" w:rsidRDefault="00675646" w:rsidP="005D4D60">
      <w:pPr>
        <w:pStyle w:val="Testo1"/>
        <w:ind w:left="0" w:firstLine="0"/>
        <w:rPr>
          <w:smallCaps/>
          <w:noProof w:val="0"/>
          <w:sz w:val="16"/>
          <w:szCs w:val="16"/>
        </w:rPr>
      </w:pPr>
      <w:r>
        <w:rPr>
          <w:smallCaps/>
          <w:noProof w:val="0"/>
          <w:sz w:val="16"/>
          <w:szCs w:val="16"/>
        </w:rPr>
        <w:t>Lettur</w:t>
      </w:r>
      <w:r w:rsidR="00F60EDD">
        <w:rPr>
          <w:smallCaps/>
          <w:noProof w:val="0"/>
          <w:sz w:val="16"/>
          <w:szCs w:val="16"/>
        </w:rPr>
        <w:t>e</w:t>
      </w:r>
      <w:r>
        <w:rPr>
          <w:smallCaps/>
          <w:noProof w:val="0"/>
          <w:sz w:val="16"/>
          <w:szCs w:val="16"/>
        </w:rPr>
        <w:t xml:space="preserve"> consigliat</w:t>
      </w:r>
      <w:r w:rsidR="00F60EDD">
        <w:rPr>
          <w:smallCaps/>
          <w:noProof w:val="0"/>
          <w:sz w:val="16"/>
          <w:szCs w:val="16"/>
        </w:rPr>
        <w:t>e</w:t>
      </w:r>
      <w:r>
        <w:rPr>
          <w:smallCaps/>
          <w:noProof w:val="0"/>
          <w:sz w:val="16"/>
          <w:szCs w:val="16"/>
        </w:rPr>
        <w:t>:</w:t>
      </w:r>
    </w:p>
    <w:p w14:paraId="4A34E1C1" w14:textId="1CF096C7" w:rsidR="00F60EDD" w:rsidRPr="005D4D60" w:rsidRDefault="00F60EDD" w:rsidP="005D4D60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B829DC">
        <w:rPr>
          <w:smallCaps/>
          <w:sz w:val="16"/>
          <w:szCs w:val="16"/>
        </w:rPr>
        <w:t>C. Teodori</w:t>
      </w:r>
      <w:r w:rsidRPr="00B829DC">
        <w:rPr>
          <w:i/>
          <w:szCs w:val="18"/>
        </w:rPr>
        <w:t>, Analisi di bilancio</w:t>
      </w:r>
      <w:r>
        <w:rPr>
          <w:b/>
          <w:i/>
        </w:rPr>
        <w:t xml:space="preserve">, </w:t>
      </w:r>
      <w:r w:rsidRPr="00B829DC">
        <w:rPr>
          <w:szCs w:val="18"/>
        </w:rPr>
        <w:t>Giappichelli, ultima edizione</w:t>
      </w:r>
      <w:r>
        <w:rPr>
          <w:b/>
          <w:i/>
        </w:rPr>
        <w:t>.</w:t>
      </w:r>
    </w:p>
    <w:p w14:paraId="028DA2F1" w14:textId="1AC64C0B" w:rsidR="0081379C" w:rsidRDefault="0034333C" w:rsidP="0081379C">
      <w:pPr>
        <w:pStyle w:val="Testo1"/>
        <w:ind w:left="0" w:firstLine="0"/>
        <w:rPr>
          <w:noProof w:val="0"/>
          <w:szCs w:val="18"/>
        </w:rPr>
      </w:pPr>
      <w:r w:rsidRPr="00835F18">
        <w:rPr>
          <w:smallCaps/>
          <w:noProof w:val="0"/>
          <w:sz w:val="16"/>
          <w:szCs w:val="16"/>
        </w:rPr>
        <w:t>R. Silvi</w:t>
      </w:r>
      <w:r w:rsidRPr="00835F18">
        <w:rPr>
          <w:i/>
          <w:noProof w:val="0"/>
          <w:szCs w:val="18"/>
        </w:rPr>
        <w:t>, Analisi di bilancio. La prospettiva manageriale</w:t>
      </w:r>
      <w:r>
        <w:rPr>
          <w:noProof w:val="0"/>
          <w:szCs w:val="18"/>
        </w:rPr>
        <w:t>, McGraw Hill, 2012</w:t>
      </w:r>
    </w:p>
    <w:p w14:paraId="48C98F73" w14:textId="72F301BA" w:rsidR="00F60EDD" w:rsidRDefault="00F60EDD" w:rsidP="0081379C">
      <w:pPr>
        <w:pStyle w:val="Testo1"/>
        <w:ind w:left="0" w:firstLine="0"/>
      </w:pPr>
      <w:r w:rsidRPr="00F60EDD">
        <w:rPr>
          <w:smallCaps/>
          <w:noProof w:val="0"/>
          <w:sz w:val="16"/>
          <w:szCs w:val="16"/>
        </w:rPr>
        <w:t>M. Bini</w:t>
      </w:r>
      <w:r>
        <w:rPr>
          <w:smallCaps/>
          <w:noProof w:val="0"/>
          <w:sz w:val="16"/>
          <w:szCs w:val="16"/>
        </w:rPr>
        <w:t xml:space="preserve">, </w:t>
      </w:r>
      <w:r w:rsidR="005D4D60">
        <w:rPr>
          <w:smallCaps/>
          <w:noProof w:val="0"/>
          <w:sz w:val="16"/>
          <w:szCs w:val="16"/>
        </w:rPr>
        <w:t xml:space="preserve">P. Ghiringhelli, </w:t>
      </w:r>
      <w:r w:rsidR="005D4D60" w:rsidRPr="005D4D60">
        <w:t>Analisi di bilancio, Egea, ultima edizione</w:t>
      </w:r>
    </w:p>
    <w:p w14:paraId="6F962D2F" w14:textId="079FDBF7" w:rsidR="00AD581B" w:rsidRPr="00F60EDD" w:rsidRDefault="00A5237B" w:rsidP="0081379C">
      <w:pPr>
        <w:pStyle w:val="Testo1"/>
        <w:ind w:left="0" w:firstLine="0"/>
        <w:rPr>
          <w:smallCaps/>
          <w:noProof w:val="0"/>
          <w:sz w:val="16"/>
          <w:szCs w:val="16"/>
        </w:rPr>
      </w:pPr>
      <w:r w:rsidRPr="00A5237B">
        <w:rPr>
          <w:smallCaps/>
          <w:noProof w:val="0"/>
          <w:sz w:val="16"/>
          <w:szCs w:val="16"/>
        </w:rPr>
        <w:t>P. Riva (a cura di</w:t>
      </w:r>
      <w:r>
        <w:rPr>
          <w:i/>
          <w:iCs/>
        </w:rPr>
        <w:t xml:space="preserve">), </w:t>
      </w:r>
      <w:r w:rsidR="00AD581B" w:rsidRPr="00AD581B">
        <w:rPr>
          <w:i/>
          <w:iCs/>
        </w:rPr>
        <w:t>Ruoli di corporate governance</w:t>
      </w:r>
      <w:r w:rsidR="00AD581B">
        <w:t>, Egea</w:t>
      </w:r>
      <w:r>
        <w:t>, 2020</w:t>
      </w:r>
    </w:p>
    <w:p w14:paraId="0EB0A855" w14:textId="77777777" w:rsidR="00596C56" w:rsidRPr="0081379C" w:rsidRDefault="00596C56" w:rsidP="0081379C">
      <w:pPr>
        <w:pStyle w:val="Testo1"/>
        <w:ind w:left="0" w:firstLine="0"/>
        <w:rPr>
          <w:noProof w:val="0"/>
          <w:szCs w:val="18"/>
        </w:rPr>
      </w:pPr>
    </w:p>
    <w:p w14:paraId="2A3681E0" w14:textId="77777777" w:rsidR="00495B52" w:rsidRPr="006975AE" w:rsidRDefault="003B1F9C" w:rsidP="00471E02">
      <w:pPr>
        <w:spacing w:before="240" w:after="120" w:line="220" w:lineRule="exact"/>
        <w:rPr>
          <w:b/>
          <w:i/>
          <w:sz w:val="18"/>
        </w:rPr>
      </w:pPr>
      <w:r w:rsidRPr="006975AE">
        <w:rPr>
          <w:b/>
          <w:i/>
          <w:sz w:val="18"/>
        </w:rPr>
        <w:t>DIDATTICA DEL CORSO</w:t>
      </w:r>
    </w:p>
    <w:p w14:paraId="08213350" w14:textId="77777777" w:rsidR="00A059A1" w:rsidRPr="005D4D60" w:rsidRDefault="00675646" w:rsidP="00236713">
      <w:pPr>
        <w:pStyle w:val="Testo2"/>
        <w:ind w:firstLine="0"/>
      </w:pPr>
      <w:r w:rsidRPr="005D4D60">
        <w:t>Il corso alterna lezioni frontali, testimonianze di responsabili delle funzioni manageriali, lavori di gruppo e individuali in itinere.</w:t>
      </w:r>
    </w:p>
    <w:p w14:paraId="7CBA3BBB" w14:textId="77777777" w:rsidR="00D04816" w:rsidRPr="005D4D60" w:rsidRDefault="00D04816" w:rsidP="00236713">
      <w:pPr>
        <w:pStyle w:val="Testo2"/>
        <w:ind w:firstLine="0"/>
      </w:pPr>
    </w:p>
    <w:p w14:paraId="0F927391" w14:textId="77777777" w:rsidR="00D04816" w:rsidRPr="00AD581B" w:rsidRDefault="00D04816" w:rsidP="00D04816">
      <w:pPr>
        <w:tabs>
          <w:tab w:val="left" w:pos="6663"/>
          <w:tab w:val="left" w:pos="9072"/>
        </w:tabs>
        <w:spacing w:before="240" w:after="120" w:line="220" w:lineRule="exact"/>
        <w:ind w:right="27"/>
        <w:rPr>
          <w:b/>
          <w:i/>
          <w:sz w:val="18"/>
        </w:rPr>
      </w:pPr>
      <w:r w:rsidRPr="00AD581B">
        <w:rPr>
          <w:b/>
          <w:i/>
          <w:sz w:val="18"/>
        </w:rPr>
        <w:t>METODO</w:t>
      </w:r>
      <w:r w:rsidR="00DC2525" w:rsidRPr="00AD581B">
        <w:rPr>
          <w:b/>
          <w:i/>
          <w:sz w:val="18"/>
        </w:rPr>
        <w:t xml:space="preserve"> E </w:t>
      </w:r>
      <w:proofErr w:type="gramStart"/>
      <w:r w:rsidR="00DC2525" w:rsidRPr="00AD581B">
        <w:rPr>
          <w:b/>
          <w:i/>
          <w:sz w:val="18"/>
        </w:rPr>
        <w:t xml:space="preserve">CRITERI </w:t>
      </w:r>
      <w:r w:rsidRPr="00AD581B">
        <w:rPr>
          <w:b/>
          <w:i/>
          <w:sz w:val="18"/>
        </w:rPr>
        <w:t xml:space="preserve"> DI</w:t>
      </w:r>
      <w:proofErr w:type="gramEnd"/>
      <w:r w:rsidRPr="00AD581B">
        <w:rPr>
          <w:b/>
          <w:i/>
          <w:sz w:val="18"/>
        </w:rPr>
        <w:t xml:space="preserve"> VALUTAZIONE</w:t>
      </w:r>
    </w:p>
    <w:p w14:paraId="46B60E48" w14:textId="58F81C28" w:rsidR="0085493D" w:rsidRPr="00AD581B" w:rsidRDefault="0085493D" w:rsidP="00796464">
      <w:pPr>
        <w:pStyle w:val="Testo2"/>
        <w:tabs>
          <w:tab w:val="left" w:pos="6663"/>
          <w:tab w:val="left" w:pos="9072"/>
        </w:tabs>
        <w:ind w:right="-114" w:firstLine="0"/>
      </w:pPr>
    </w:p>
    <w:p w14:paraId="0F3B8BA5" w14:textId="1EE23EDB" w:rsidR="00C27EB7" w:rsidRPr="00AD581B" w:rsidRDefault="00C27EB7" w:rsidP="00C27EB7">
      <w:pPr>
        <w:pStyle w:val="Testo2"/>
        <w:tabs>
          <w:tab w:val="left" w:pos="6663"/>
          <w:tab w:val="left" w:pos="9072"/>
        </w:tabs>
        <w:ind w:right="-114" w:firstLine="0"/>
        <w:rPr>
          <w:rFonts w:ascii="Times New Roman" w:hAnsi="Times New Roman"/>
          <w:szCs w:val="18"/>
        </w:rPr>
      </w:pPr>
      <w:r w:rsidRPr="00AD581B">
        <w:rPr>
          <w:rFonts w:ascii="Times New Roman" w:hAnsi="Times New Roman"/>
          <w:szCs w:val="18"/>
        </w:rPr>
        <w:t xml:space="preserve">Per tutti gli studenti la modalità di esame prevede lo svolgimento di una prova scritta obbligatoria. La prova prevede </w:t>
      </w:r>
      <w:r w:rsidR="00AD581B" w:rsidRPr="00AD581B">
        <w:rPr>
          <w:rFonts w:ascii="Times New Roman" w:hAnsi="Times New Roman"/>
          <w:szCs w:val="18"/>
        </w:rPr>
        <w:t xml:space="preserve">l’analisi di un bilancio aziendale pubblico e  redatto secondo le metodologie di riclassificazione,  corredato da un set di indicatori economico-finanziari. L prova prevede, inoltre, 3 domande aperte sugli argomenti trattati nel corso. </w:t>
      </w:r>
      <w:r w:rsidRPr="00AD581B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I criteri di valutazione sono: corretto impiego dei concetti introdotti nel corso, capacità di commentare informazioni relative alle dinamiche decisionali delle imprese, in particolare con riferimento all’analisi de</w:t>
      </w:r>
      <w:r w:rsidR="00AD581B" w:rsidRPr="00AD581B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>gli equilibri economici e finanziari di breve e medio/lungo termine anche in ottica manageriale.</w:t>
      </w:r>
      <w:r w:rsidRPr="00AD581B">
        <w:rPr>
          <w:rFonts w:ascii="Times New Roman" w:hAnsi="Times New Roman"/>
          <w:noProof w:val="0"/>
          <w:color w:val="000000" w:themeColor="text1"/>
          <w:szCs w:val="18"/>
          <w:lang w:eastAsia="en-US"/>
        </w:rPr>
        <w:t xml:space="preserve"> </w:t>
      </w:r>
    </w:p>
    <w:p w14:paraId="415D0E09" w14:textId="29F05181" w:rsidR="00C27EB7" w:rsidRPr="00C27EB7" w:rsidRDefault="00C27EB7" w:rsidP="00796464">
      <w:pPr>
        <w:pStyle w:val="Testo2"/>
        <w:tabs>
          <w:tab w:val="left" w:pos="6663"/>
          <w:tab w:val="left" w:pos="9072"/>
        </w:tabs>
        <w:ind w:right="-114" w:firstLine="0"/>
        <w:rPr>
          <w:highlight w:val="yellow"/>
        </w:rPr>
      </w:pPr>
    </w:p>
    <w:p w14:paraId="54E05632" w14:textId="31DFD4C9" w:rsidR="00675646" w:rsidRDefault="00675646" w:rsidP="00D04816">
      <w:pPr>
        <w:pStyle w:val="Testo2"/>
        <w:tabs>
          <w:tab w:val="left" w:pos="1418"/>
          <w:tab w:val="left" w:pos="6663"/>
          <w:tab w:val="left" w:pos="9072"/>
        </w:tabs>
        <w:ind w:right="27" w:firstLine="0"/>
      </w:pPr>
    </w:p>
    <w:p w14:paraId="3D579913" w14:textId="77777777" w:rsidR="00FC10FB" w:rsidRDefault="00FC10FB" w:rsidP="00D04816">
      <w:pPr>
        <w:pStyle w:val="Testo2"/>
        <w:tabs>
          <w:tab w:val="left" w:pos="1418"/>
          <w:tab w:val="left" w:pos="6663"/>
          <w:tab w:val="left" w:pos="9072"/>
        </w:tabs>
        <w:ind w:right="27" w:firstLine="0"/>
        <w:rPr>
          <w:b/>
          <w:i/>
          <w:noProof w:val="0"/>
        </w:rPr>
      </w:pPr>
    </w:p>
    <w:p w14:paraId="649850BB" w14:textId="77777777" w:rsidR="00FC10FB" w:rsidRPr="00FC10FB" w:rsidRDefault="00FC10FB" w:rsidP="00FC10FB">
      <w:pPr>
        <w:pStyle w:val="Testo2"/>
        <w:tabs>
          <w:tab w:val="left" w:pos="1418"/>
          <w:tab w:val="left" w:pos="6663"/>
          <w:tab w:val="left" w:pos="9072"/>
        </w:tabs>
        <w:spacing w:after="120"/>
        <w:ind w:right="28" w:firstLine="0"/>
        <w:rPr>
          <w:b/>
          <w:i/>
          <w:noProof w:val="0"/>
        </w:rPr>
      </w:pPr>
      <w:r w:rsidRPr="00FC10FB">
        <w:rPr>
          <w:b/>
          <w:i/>
          <w:noProof w:val="0"/>
        </w:rPr>
        <w:t>AVVERTENZE E PREREQUISITI</w:t>
      </w:r>
    </w:p>
    <w:p w14:paraId="425E062D" w14:textId="77777777" w:rsidR="00D04816" w:rsidRDefault="00FC10FB" w:rsidP="00FC10FB">
      <w:pPr>
        <w:pStyle w:val="Testo2"/>
        <w:tabs>
          <w:tab w:val="num" w:pos="284"/>
          <w:tab w:val="left" w:pos="6663"/>
          <w:tab w:val="left" w:pos="9072"/>
        </w:tabs>
        <w:spacing w:after="120"/>
        <w:ind w:right="28" w:firstLine="0"/>
        <w:rPr>
          <w:snapToGrid w:val="0"/>
        </w:rPr>
      </w:pPr>
      <w:r>
        <w:rPr>
          <w:snapToGrid w:val="0"/>
        </w:rPr>
        <w:t xml:space="preserve">L’insegnamento necessita di competenze di base che sono </w:t>
      </w:r>
      <w:r w:rsidR="00675646">
        <w:rPr>
          <w:snapToGrid w:val="0"/>
        </w:rPr>
        <w:t>considerate già</w:t>
      </w:r>
      <w:r>
        <w:rPr>
          <w:snapToGrid w:val="0"/>
        </w:rPr>
        <w:t xml:space="preserve"> acquisite dai laureati triennali in Economia aziendale o che, nel corso di studio triennale, abbiano acquisito crediti </w:t>
      </w:r>
      <w:r w:rsidR="00675646">
        <w:rPr>
          <w:snapToGrid w:val="0"/>
        </w:rPr>
        <w:t xml:space="preserve">formativi </w:t>
      </w:r>
      <w:r>
        <w:rPr>
          <w:snapToGrid w:val="0"/>
        </w:rPr>
        <w:t xml:space="preserve">nel settore scientifico disciplinare SECS-P/07. </w:t>
      </w:r>
      <w:r w:rsidR="00675646">
        <w:rPr>
          <w:snapToGrid w:val="0"/>
        </w:rPr>
        <w:t xml:space="preserve"> Un precorso introduttivo è offerto agli interessati e fortemente consigliato a chi presenta lacune di base. </w:t>
      </w:r>
    </w:p>
    <w:p w14:paraId="2C1FC9EF" w14:textId="77777777" w:rsidR="00D04816" w:rsidRDefault="00D04816" w:rsidP="00D04816">
      <w:pPr>
        <w:pStyle w:val="Testo2"/>
        <w:tabs>
          <w:tab w:val="left" w:pos="6663"/>
          <w:tab w:val="left" w:pos="9072"/>
        </w:tabs>
        <w:ind w:right="2834" w:firstLine="0"/>
        <w:rPr>
          <w:snapToGrid w:val="0"/>
        </w:rPr>
      </w:pPr>
    </w:p>
    <w:p w14:paraId="5A92AAA4" w14:textId="77777777" w:rsidR="00D04816" w:rsidRDefault="00D04816" w:rsidP="00D04816">
      <w:pPr>
        <w:tabs>
          <w:tab w:val="left" w:pos="6663"/>
          <w:tab w:val="left" w:pos="9072"/>
        </w:tabs>
        <w:spacing w:before="240" w:after="120" w:line="220" w:lineRule="exact"/>
        <w:ind w:right="-114"/>
        <w:rPr>
          <w:rFonts w:eastAsia="MS Mincho"/>
          <w:b/>
          <w:i/>
          <w:sz w:val="18"/>
        </w:rPr>
      </w:pPr>
      <w:r>
        <w:rPr>
          <w:rFonts w:eastAsia="MS Mincho"/>
          <w:b/>
          <w:i/>
          <w:sz w:val="18"/>
        </w:rPr>
        <w:t>ORARIO E LUOGO DI RICEVIMENTO DEGLI STUDENTI</w:t>
      </w:r>
    </w:p>
    <w:p w14:paraId="47A94718" w14:textId="77777777" w:rsidR="00D04816" w:rsidRPr="00D04816" w:rsidRDefault="00D04816" w:rsidP="00D04816">
      <w:pPr>
        <w:tabs>
          <w:tab w:val="clear" w:pos="284"/>
          <w:tab w:val="left" w:pos="708"/>
          <w:tab w:val="left" w:pos="6663"/>
          <w:tab w:val="left" w:pos="9072"/>
        </w:tabs>
        <w:spacing w:line="220" w:lineRule="exact"/>
        <w:ind w:right="27"/>
        <w:rPr>
          <w:noProof/>
          <w:sz w:val="18"/>
          <w:szCs w:val="18"/>
        </w:rPr>
      </w:pPr>
      <w:r w:rsidRPr="00D04816">
        <w:rPr>
          <w:noProof/>
          <w:sz w:val="18"/>
          <w:szCs w:val="18"/>
        </w:rPr>
        <w:t xml:space="preserve">Gli orari di ricevimento sono disponibili on line nella pagina personale del docente, consultabile al sito </w:t>
      </w:r>
      <w:hyperlink r:id="rId8" w:history="1">
        <w:r w:rsidRPr="00D04816">
          <w:rPr>
            <w:rStyle w:val="Collegamentoipertestuale"/>
            <w:sz w:val="18"/>
            <w:szCs w:val="18"/>
          </w:rPr>
          <w:t>http://docenti.unicatt.it/</w:t>
        </w:r>
      </w:hyperlink>
    </w:p>
    <w:p w14:paraId="441944AD" w14:textId="77777777" w:rsidR="00D04816" w:rsidRPr="00D04816" w:rsidRDefault="00D04816" w:rsidP="00D04816">
      <w:pPr>
        <w:pStyle w:val="Testo2"/>
        <w:tabs>
          <w:tab w:val="left" w:pos="6663"/>
          <w:tab w:val="left" w:pos="9072"/>
        </w:tabs>
        <w:ind w:right="27" w:firstLine="0"/>
        <w:rPr>
          <w:szCs w:val="18"/>
          <w:u w:val="single"/>
        </w:rPr>
      </w:pPr>
    </w:p>
    <w:p w14:paraId="186C7C56" w14:textId="77777777" w:rsidR="00D04816" w:rsidRDefault="00D04816" w:rsidP="00D04816">
      <w:pPr>
        <w:pStyle w:val="Testo2"/>
        <w:tabs>
          <w:tab w:val="left" w:pos="6663"/>
          <w:tab w:val="left" w:pos="9072"/>
        </w:tabs>
        <w:ind w:right="2834" w:firstLine="0"/>
        <w:rPr>
          <w:snapToGrid w:val="0"/>
        </w:rPr>
      </w:pPr>
    </w:p>
    <w:p w14:paraId="14EAC0C4" w14:textId="77777777" w:rsidR="00D04816" w:rsidRPr="00D04816" w:rsidRDefault="00D04816" w:rsidP="00236713">
      <w:pPr>
        <w:pStyle w:val="Testo2"/>
        <w:ind w:firstLine="0"/>
        <w:rPr>
          <w:szCs w:val="18"/>
        </w:rPr>
      </w:pPr>
    </w:p>
    <w:sectPr w:rsidR="00D04816" w:rsidRPr="00D04816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531"/>
    <w:multiLevelType w:val="hybridMultilevel"/>
    <w:tmpl w:val="10E0B994"/>
    <w:lvl w:ilvl="0" w:tplc="4DB0DE6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A2925"/>
    <w:multiLevelType w:val="hybridMultilevel"/>
    <w:tmpl w:val="72E2AAA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7249129">
    <w:abstractNumId w:val="1"/>
  </w:num>
  <w:num w:numId="2" w16cid:durableId="1126121888">
    <w:abstractNumId w:val="6"/>
  </w:num>
  <w:num w:numId="3" w16cid:durableId="947274423">
    <w:abstractNumId w:val="12"/>
  </w:num>
  <w:num w:numId="4" w16cid:durableId="1182740254">
    <w:abstractNumId w:val="3"/>
  </w:num>
  <w:num w:numId="5" w16cid:durableId="731468854">
    <w:abstractNumId w:val="9"/>
  </w:num>
  <w:num w:numId="6" w16cid:durableId="889343678">
    <w:abstractNumId w:val="13"/>
  </w:num>
  <w:num w:numId="7" w16cid:durableId="1789080601">
    <w:abstractNumId w:val="0"/>
  </w:num>
  <w:num w:numId="8" w16cid:durableId="1776048650">
    <w:abstractNumId w:val="14"/>
  </w:num>
  <w:num w:numId="9" w16cid:durableId="158739723">
    <w:abstractNumId w:val="18"/>
  </w:num>
  <w:num w:numId="10" w16cid:durableId="1312249307">
    <w:abstractNumId w:val="5"/>
  </w:num>
  <w:num w:numId="11" w16cid:durableId="1187600540">
    <w:abstractNumId w:val="2"/>
  </w:num>
  <w:num w:numId="12" w16cid:durableId="934748916">
    <w:abstractNumId w:val="8"/>
  </w:num>
  <w:num w:numId="13" w16cid:durableId="385489468">
    <w:abstractNumId w:val="11"/>
  </w:num>
  <w:num w:numId="14" w16cid:durableId="1233731342">
    <w:abstractNumId w:val="4"/>
  </w:num>
  <w:num w:numId="15" w16cid:durableId="824005601">
    <w:abstractNumId w:val="15"/>
  </w:num>
  <w:num w:numId="16" w16cid:durableId="700865908">
    <w:abstractNumId w:val="7"/>
  </w:num>
  <w:num w:numId="17" w16cid:durableId="2108772854">
    <w:abstractNumId w:val="17"/>
  </w:num>
  <w:num w:numId="18" w16cid:durableId="503473636">
    <w:abstractNumId w:val="17"/>
  </w:num>
  <w:num w:numId="19" w16cid:durableId="991720232">
    <w:abstractNumId w:val="16"/>
  </w:num>
  <w:num w:numId="20" w16cid:durableId="89207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4E"/>
    <w:rsid w:val="00013D8C"/>
    <w:rsid w:val="00025B8B"/>
    <w:rsid w:val="00056F46"/>
    <w:rsid w:val="000B0206"/>
    <w:rsid w:val="000C6CEC"/>
    <w:rsid w:val="00105398"/>
    <w:rsid w:val="00177CE0"/>
    <w:rsid w:val="00186B7C"/>
    <w:rsid w:val="001A64B4"/>
    <w:rsid w:val="001D4A03"/>
    <w:rsid w:val="00205F8C"/>
    <w:rsid w:val="00236713"/>
    <w:rsid w:val="002E7203"/>
    <w:rsid w:val="003129C8"/>
    <w:rsid w:val="0034333C"/>
    <w:rsid w:val="00346C00"/>
    <w:rsid w:val="00392672"/>
    <w:rsid w:val="003B1F9C"/>
    <w:rsid w:val="003E1F7C"/>
    <w:rsid w:val="003E478B"/>
    <w:rsid w:val="004201A8"/>
    <w:rsid w:val="00431017"/>
    <w:rsid w:val="004550B6"/>
    <w:rsid w:val="0046288C"/>
    <w:rsid w:val="00471E02"/>
    <w:rsid w:val="00495B52"/>
    <w:rsid w:val="00596C56"/>
    <w:rsid w:val="005D1FD5"/>
    <w:rsid w:val="005D4D60"/>
    <w:rsid w:val="006223E7"/>
    <w:rsid w:val="0066415A"/>
    <w:rsid w:val="00664CD1"/>
    <w:rsid w:val="006730DB"/>
    <w:rsid w:val="00675646"/>
    <w:rsid w:val="0069398F"/>
    <w:rsid w:val="006975AE"/>
    <w:rsid w:val="006C7B25"/>
    <w:rsid w:val="006F5B2E"/>
    <w:rsid w:val="0070074D"/>
    <w:rsid w:val="00703383"/>
    <w:rsid w:val="0071087B"/>
    <w:rsid w:val="00731AAD"/>
    <w:rsid w:val="007379BA"/>
    <w:rsid w:val="007700A8"/>
    <w:rsid w:val="007859A0"/>
    <w:rsid w:val="00796464"/>
    <w:rsid w:val="00810EE2"/>
    <w:rsid w:val="0081327F"/>
    <w:rsid w:val="0081379C"/>
    <w:rsid w:val="008326B2"/>
    <w:rsid w:val="00833D15"/>
    <w:rsid w:val="00835F18"/>
    <w:rsid w:val="0085493D"/>
    <w:rsid w:val="008675D3"/>
    <w:rsid w:val="00896F8B"/>
    <w:rsid w:val="008A016C"/>
    <w:rsid w:val="008A2AA7"/>
    <w:rsid w:val="00995770"/>
    <w:rsid w:val="009F2748"/>
    <w:rsid w:val="00A059A1"/>
    <w:rsid w:val="00A12023"/>
    <w:rsid w:val="00A13191"/>
    <w:rsid w:val="00A376E7"/>
    <w:rsid w:val="00A5237B"/>
    <w:rsid w:val="00AD240D"/>
    <w:rsid w:val="00AD581B"/>
    <w:rsid w:val="00B73E97"/>
    <w:rsid w:val="00B829DC"/>
    <w:rsid w:val="00B857CC"/>
    <w:rsid w:val="00BB002D"/>
    <w:rsid w:val="00BC444E"/>
    <w:rsid w:val="00C05385"/>
    <w:rsid w:val="00C27EB7"/>
    <w:rsid w:val="00D04816"/>
    <w:rsid w:val="00D75B80"/>
    <w:rsid w:val="00DA3393"/>
    <w:rsid w:val="00DC2525"/>
    <w:rsid w:val="00E56025"/>
    <w:rsid w:val="00E82EEA"/>
    <w:rsid w:val="00EA323D"/>
    <w:rsid w:val="00EB5BA6"/>
    <w:rsid w:val="00F60EDD"/>
    <w:rsid w:val="00F8037C"/>
    <w:rsid w:val="00FA3A96"/>
    <w:rsid w:val="00FC10FB"/>
    <w:rsid w:val="00FE0D30"/>
    <w:rsid w:val="00FF08A6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40580"/>
  <w15:docId w15:val="{9764FAEB-6D4D-41ED-9B9E-4CD57A2F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4A5B3B-D3F4-4B4D-9121-751242593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47F6B-AF2D-4744-87B2-B6506D69B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968454-1153-426A-8B13-E96CF18C01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65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Fiori Paola</cp:lastModifiedBy>
  <cp:revision>16</cp:revision>
  <cp:lastPrinted>2022-10-11T09:43:00Z</cp:lastPrinted>
  <dcterms:created xsi:type="dcterms:W3CDTF">2021-05-12T12:48:00Z</dcterms:created>
  <dcterms:modified xsi:type="dcterms:W3CDTF">2022-10-12T09:16:00Z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