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419F" w14:textId="62B40D8A" w:rsidR="00E26946" w:rsidRPr="001208A5" w:rsidRDefault="001208A5" w:rsidP="001962EB">
      <w:pPr>
        <w:pStyle w:val="Titolo1"/>
        <w:tabs>
          <w:tab w:val="left" w:pos="120"/>
          <w:tab w:val="left" w:pos="709"/>
          <w:tab w:val="left" w:pos="1080"/>
        </w:tabs>
        <w:spacing w:before="0" w:after="120" w:line="240" w:lineRule="auto"/>
        <w:rPr>
          <w:rFonts w:ascii="Times New Roman" w:hAnsi="Times New Roman"/>
          <w:lang w:val="en-US"/>
        </w:rPr>
      </w:pPr>
      <w:r w:rsidRPr="001208A5">
        <w:rPr>
          <w:rFonts w:ascii="Times New Roman" w:hAnsi="Times New Roman"/>
          <w:lang w:val="en-US"/>
        </w:rPr>
        <w:t>T</w:t>
      </w:r>
      <w:r>
        <w:rPr>
          <w:rFonts w:ascii="Times New Roman" w:hAnsi="Times New Roman"/>
          <w:lang w:val="en-US"/>
        </w:rPr>
        <w:t>opics in Wine Marketing</w:t>
      </w:r>
    </w:p>
    <w:p w14:paraId="0DCE5FB5" w14:textId="77777777" w:rsidR="00E26946" w:rsidRPr="001962EB" w:rsidRDefault="00E26946" w:rsidP="001962EB">
      <w:pPr>
        <w:pStyle w:val="Titolo2"/>
        <w:tabs>
          <w:tab w:val="left" w:pos="709"/>
        </w:tabs>
        <w:spacing w:after="120" w:line="240" w:lineRule="auto"/>
        <w:rPr>
          <w:rFonts w:ascii="Times New Roman" w:hAnsi="Times New Roman"/>
          <w:sz w:val="20"/>
        </w:rPr>
      </w:pPr>
      <w:r w:rsidRPr="001208A5">
        <w:rPr>
          <w:rFonts w:ascii="Times New Roman" w:hAnsi="Times New Roman"/>
          <w:sz w:val="20"/>
          <w:lang w:val="en-US"/>
        </w:rPr>
        <w:t xml:space="preserve">Prof. </w:t>
      </w:r>
      <w:r w:rsidRPr="001962EB">
        <w:rPr>
          <w:rFonts w:ascii="Times New Roman" w:hAnsi="Times New Roman"/>
          <w:sz w:val="20"/>
        </w:rPr>
        <w:t>Edoardo Fornari</w:t>
      </w:r>
    </w:p>
    <w:p w14:paraId="413A49A4" w14:textId="77777777" w:rsidR="001962EB" w:rsidRDefault="001962EB" w:rsidP="001962EB">
      <w:pPr>
        <w:tabs>
          <w:tab w:val="clear" w:pos="284"/>
        </w:tabs>
        <w:spacing w:after="120" w:line="240" w:lineRule="auto"/>
        <w:rPr>
          <w:rFonts w:ascii="Times New Roman" w:hAnsi="Times New Roman"/>
          <w:b/>
          <w:i/>
        </w:rPr>
      </w:pPr>
    </w:p>
    <w:p w14:paraId="7427FCD4" w14:textId="77777777" w:rsidR="009326BA" w:rsidRPr="001962EB" w:rsidRDefault="009326BA" w:rsidP="001962EB">
      <w:pPr>
        <w:tabs>
          <w:tab w:val="clear" w:pos="284"/>
        </w:tabs>
        <w:spacing w:after="120" w:line="240" w:lineRule="auto"/>
        <w:rPr>
          <w:rFonts w:ascii="Times New Roman" w:hAnsi="Times New Roman"/>
          <w:b/>
          <w:i/>
        </w:rPr>
      </w:pPr>
      <w:r w:rsidRPr="001962EB">
        <w:rPr>
          <w:rFonts w:ascii="Times New Roman" w:hAnsi="Times New Roman"/>
          <w:b/>
          <w:i/>
        </w:rPr>
        <w:t>OBIETTIVO DEL CORSO E RISULTATI DI APPRENDIMENTO ATTESI</w:t>
      </w:r>
    </w:p>
    <w:p w14:paraId="3D1B5291" w14:textId="75C64DDA" w:rsidR="009326BA" w:rsidRPr="001962EB" w:rsidRDefault="0096254D" w:rsidP="001962EB">
      <w:pPr>
        <w:tabs>
          <w:tab w:val="clear" w:pos="284"/>
        </w:tabs>
        <w:spacing w:after="120" w:line="240" w:lineRule="auto"/>
        <w:rPr>
          <w:rFonts w:ascii="Times New Roman" w:hAnsi="Times New Roman"/>
        </w:rPr>
      </w:pPr>
      <w:r w:rsidRPr="001962EB">
        <w:rPr>
          <w:rFonts w:ascii="Times New Roman" w:hAnsi="Times New Roman"/>
        </w:rPr>
        <w:t xml:space="preserve">Scopo </w:t>
      </w:r>
      <w:r w:rsidR="009326BA" w:rsidRPr="001962EB">
        <w:rPr>
          <w:rFonts w:ascii="Times New Roman" w:hAnsi="Times New Roman"/>
        </w:rPr>
        <w:t>dell’insegnamento</w:t>
      </w:r>
      <w:r w:rsidRPr="001962EB">
        <w:rPr>
          <w:rFonts w:ascii="Times New Roman" w:hAnsi="Times New Roman"/>
        </w:rPr>
        <w:t xml:space="preserve"> è </w:t>
      </w:r>
      <w:r w:rsidR="00A45752" w:rsidRPr="001962EB">
        <w:rPr>
          <w:rFonts w:ascii="Times New Roman" w:hAnsi="Times New Roman"/>
        </w:rPr>
        <w:t xml:space="preserve">quello </w:t>
      </w:r>
      <w:r w:rsidRPr="001962EB">
        <w:rPr>
          <w:rFonts w:ascii="Times New Roman" w:hAnsi="Times New Roman"/>
        </w:rPr>
        <w:t xml:space="preserve">di </w:t>
      </w:r>
      <w:r w:rsidR="00A45752" w:rsidRPr="001962EB">
        <w:rPr>
          <w:rFonts w:ascii="Times New Roman" w:hAnsi="Times New Roman"/>
        </w:rPr>
        <w:t xml:space="preserve">fornire agli studenti adeguate conoscenze di base </w:t>
      </w:r>
      <w:r w:rsidR="00F666D9" w:rsidRPr="001962EB">
        <w:rPr>
          <w:rFonts w:ascii="Times New Roman" w:hAnsi="Times New Roman"/>
        </w:rPr>
        <w:t>circa i</w:t>
      </w:r>
      <w:r w:rsidR="00A45752" w:rsidRPr="001962EB">
        <w:rPr>
          <w:rFonts w:ascii="Times New Roman" w:hAnsi="Times New Roman"/>
        </w:rPr>
        <w:t xml:space="preserve"> principi</w:t>
      </w:r>
      <w:r w:rsidR="00F666D9" w:rsidRPr="001962EB">
        <w:rPr>
          <w:rFonts w:ascii="Times New Roman" w:hAnsi="Times New Roman"/>
        </w:rPr>
        <w:t xml:space="preserve"> e gli strumenti</w:t>
      </w:r>
      <w:r w:rsidR="00A45752" w:rsidRPr="001962EB">
        <w:rPr>
          <w:rFonts w:ascii="Times New Roman" w:hAnsi="Times New Roman"/>
        </w:rPr>
        <w:t xml:space="preserve"> d</w:t>
      </w:r>
      <w:r w:rsidR="00F666D9" w:rsidRPr="001962EB">
        <w:rPr>
          <w:rFonts w:ascii="Times New Roman" w:hAnsi="Times New Roman"/>
        </w:rPr>
        <w:t>i</w:t>
      </w:r>
      <w:r w:rsidR="00A45752" w:rsidRPr="001962EB">
        <w:rPr>
          <w:rFonts w:ascii="Times New Roman" w:hAnsi="Times New Roman"/>
        </w:rPr>
        <w:t xml:space="preserve"> marketing management</w:t>
      </w:r>
      <w:r w:rsidR="00F666D9" w:rsidRPr="001962EB">
        <w:rPr>
          <w:rFonts w:ascii="Times New Roman" w:hAnsi="Times New Roman"/>
        </w:rPr>
        <w:t xml:space="preserve">, permettendone </w:t>
      </w:r>
      <w:r w:rsidR="00A45752" w:rsidRPr="001962EB">
        <w:rPr>
          <w:rFonts w:ascii="Times New Roman" w:hAnsi="Times New Roman"/>
        </w:rPr>
        <w:t xml:space="preserve">l’applicazione </w:t>
      </w:r>
      <w:r w:rsidR="00F666D9" w:rsidRPr="001962EB">
        <w:rPr>
          <w:rFonts w:ascii="Times New Roman" w:hAnsi="Times New Roman"/>
        </w:rPr>
        <w:t xml:space="preserve">e l’adattamento </w:t>
      </w:r>
      <w:r w:rsidR="00A45752" w:rsidRPr="001962EB">
        <w:rPr>
          <w:rFonts w:ascii="Times New Roman" w:hAnsi="Times New Roman"/>
        </w:rPr>
        <w:t>allo specifico settore del vino</w:t>
      </w:r>
      <w:r w:rsidRPr="001962EB">
        <w:rPr>
          <w:rFonts w:ascii="Times New Roman" w:hAnsi="Times New Roman"/>
        </w:rPr>
        <w:t>.</w:t>
      </w:r>
      <w:r w:rsidR="00A45752" w:rsidRPr="001962EB">
        <w:rPr>
          <w:rFonts w:ascii="Times New Roman" w:hAnsi="Times New Roman"/>
        </w:rPr>
        <w:t xml:space="preserve"> In particolare, verranno approfonditi gli elementi caratterizzanti il cosiddetto “piano di marketing”, sia sotto il profilo strategico che sotto il profilo operativo. </w:t>
      </w:r>
      <w:r w:rsidR="00E37A04">
        <w:rPr>
          <w:rFonts w:ascii="Times New Roman" w:hAnsi="Times New Roman"/>
        </w:rPr>
        <w:t>Con riferimento al marketing</w:t>
      </w:r>
      <w:r w:rsidR="00A45752" w:rsidRPr="001962EB">
        <w:rPr>
          <w:rFonts w:ascii="Times New Roman" w:hAnsi="Times New Roman"/>
        </w:rPr>
        <w:t xml:space="preserve"> strategico, il programma del modulo si focalizzerà</w:t>
      </w:r>
      <w:r w:rsidRPr="001962EB">
        <w:rPr>
          <w:rFonts w:ascii="Times New Roman" w:hAnsi="Times New Roman"/>
        </w:rPr>
        <w:t xml:space="preserve"> </w:t>
      </w:r>
      <w:r w:rsidR="00A45752" w:rsidRPr="001962EB">
        <w:rPr>
          <w:rFonts w:ascii="Times New Roman" w:hAnsi="Times New Roman"/>
        </w:rPr>
        <w:t xml:space="preserve">sull’analisi dell’evoluzione dei modelli di consumo e dei comportamenti di acquisto della domanda, così come sullo studio dell’offerta, e più precisamente sulle dinamiche della concorrenza e dei </w:t>
      </w:r>
      <w:r w:rsidR="0094192E" w:rsidRPr="001962EB">
        <w:rPr>
          <w:rFonts w:ascii="Times New Roman" w:hAnsi="Times New Roman"/>
        </w:rPr>
        <w:t xml:space="preserve">rapporti di </w:t>
      </w:r>
      <w:r w:rsidR="00A45752" w:rsidRPr="001962EB">
        <w:rPr>
          <w:rFonts w:ascii="Times New Roman" w:hAnsi="Times New Roman"/>
        </w:rPr>
        <w:t>canal</w:t>
      </w:r>
      <w:r w:rsidR="0094192E" w:rsidRPr="001962EB">
        <w:rPr>
          <w:rFonts w:ascii="Times New Roman" w:hAnsi="Times New Roman"/>
        </w:rPr>
        <w:t>e</w:t>
      </w:r>
      <w:r w:rsidR="00A45752" w:rsidRPr="001962EB">
        <w:rPr>
          <w:rFonts w:ascii="Times New Roman" w:hAnsi="Times New Roman"/>
        </w:rPr>
        <w:t>. In seguito, per quanto riguarda gli aspetti di marketing operativo, l’attenzione si concentre</w:t>
      </w:r>
      <w:r w:rsidR="00F666D9" w:rsidRPr="001962EB">
        <w:rPr>
          <w:rFonts w:ascii="Times New Roman" w:hAnsi="Times New Roman"/>
        </w:rPr>
        <w:t>r</w:t>
      </w:r>
      <w:r w:rsidR="00A45752" w:rsidRPr="001962EB">
        <w:rPr>
          <w:rFonts w:ascii="Times New Roman" w:hAnsi="Times New Roman"/>
        </w:rPr>
        <w:t>à sulle leve del marketing-mix, vale a dire</w:t>
      </w:r>
      <w:r w:rsidR="00F666D9" w:rsidRPr="001962EB">
        <w:rPr>
          <w:rFonts w:ascii="Times New Roman" w:hAnsi="Times New Roman"/>
        </w:rPr>
        <w:t xml:space="preserve"> l’innovazione di prodotto e le scelte di branding, le politiche di prezzo e promozione, le strategie distributive e le attività di comunicazione. I contenuti teorici verranno </w:t>
      </w:r>
      <w:r w:rsidR="009326BA" w:rsidRPr="001962EB">
        <w:rPr>
          <w:rFonts w:ascii="Times New Roman" w:hAnsi="Times New Roman"/>
        </w:rPr>
        <w:t xml:space="preserve">integrati da contenuti di </w:t>
      </w:r>
      <w:r w:rsidR="00F666D9" w:rsidRPr="001962EB">
        <w:rPr>
          <w:rFonts w:ascii="Times New Roman" w:hAnsi="Times New Roman"/>
        </w:rPr>
        <w:t>applicazion</w:t>
      </w:r>
      <w:r w:rsidR="009326BA" w:rsidRPr="001962EB">
        <w:rPr>
          <w:rFonts w:ascii="Times New Roman" w:hAnsi="Times New Roman"/>
        </w:rPr>
        <w:t>e</w:t>
      </w:r>
      <w:r w:rsidR="00F666D9" w:rsidRPr="001962EB">
        <w:rPr>
          <w:rFonts w:ascii="Times New Roman" w:hAnsi="Times New Roman"/>
        </w:rPr>
        <w:t xml:space="preserve"> pratic</w:t>
      </w:r>
      <w:r w:rsidR="009326BA" w:rsidRPr="001962EB">
        <w:rPr>
          <w:rFonts w:ascii="Times New Roman" w:hAnsi="Times New Roman"/>
        </w:rPr>
        <w:t>a</w:t>
      </w:r>
      <w:r w:rsidR="00F666D9" w:rsidRPr="001962EB">
        <w:rPr>
          <w:rFonts w:ascii="Times New Roman" w:hAnsi="Times New Roman"/>
        </w:rPr>
        <w:t xml:space="preserve"> degli strumenti di marketing, con </w:t>
      </w:r>
      <w:r w:rsidR="00E37A04">
        <w:rPr>
          <w:rFonts w:ascii="Times New Roman" w:hAnsi="Times New Roman"/>
        </w:rPr>
        <w:t>specifico</w:t>
      </w:r>
      <w:r w:rsidR="00F666D9" w:rsidRPr="001962EB">
        <w:rPr>
          <w:rFonts w:ascii="Times New Roman" w:hAnsi="Times New Roman"/>
        </w:rPr>
        <w:t xml:space="preserve"> riferimento al mondo del vino.</w:t>
      </w:r>
    </w:p>
    <w:p w14:paraId="5C3B60C3" w14:textId="7CEEF9D1" w:rsidR="0096254D" w:rsidRPr="001962EB" w:rsidRDefault="009326BA" w:rsidP="001962EB">
      <w:pPr>
        <w:tabs>
          <w:tab w:val="left" w:pos="709"/>
        </w:tabs>
        <w:spacing w:after="120" w:line="240" w:lineRule="auto"/>
        <w:rPr>
          <w:rFonts w:ascii="Times New Roman" w:hAnsi="Times New Roman"/>
        </w:rPr>
      </w:pPr>
      <w:r w:rsidRPr="001962EB">
        <w:rPr>
          <w:rFonts w:ascii="Times New Roman" w:hAnsi="Times New Roman"/>
        </w:rPr>
        <w:t xml:space="preserve">Al termine dell’insegnamento, lo studente sarà in grado di analizzare e gestire le politiche di marketing delle imprese vitivinicole. Tali conoscenze potranno essere applicate sia in ambito strategico che a livello operativo. Inoltre, attraverso la presentazione e discussione collettiva di alcune </w:t>
      </w:r>
      <w:r w:rsidRPr="001962EB">
        <w:rPr>
          <w:rFonts w:ascii="Times New Roman" w:hAnsi="Times New Roman"/>
          <w:i/>
        </w:rPr>
        <w:t>case histories</w:t>
      </w:r>
      <w:r w:rsidRPr="001962EB">
        <w:rPr>
          <w:rFonts w:ascii="Times New Roman" w:hAnsi="Times New Roman"/>
        </w:rPr>
        <w:t xml:space="preserve"> </w:t>
      </w:r>
      <w:r w:rsidR="00E37A04">
        <w:rPr>
          <w:rFonts w:ascii="Times New Roman" w:hAnsi="Times New Roman"/>
        </w:rPr>
        <w:t>aziendali,</w:t>
      </w:r>
      <w:r w:rsidRPr="001962EB">
        <w:rPr>
          <w:rFonts w:ascii="Times New Roman" w:hAnsi="Times New Roman"/>
        </w:rPr>
        <w:t xml:space="preserve"> sarà possibile maturare un’adeguata autonomia di giudizio, una spiccata capacità di apprendimento delle </w:t>
      </w:r>
      <w:r w:rsidRPr="001962EB">
        <w:rPr>
          <w:rFonts w:ascii="Times New Roman" w:hAnsi="Times New Roman"/>
          <w:i/>
        </w:rPr>
        <w:t xml:space="preserve">best </w:t>
      </w:r>
      <w:proofErr w:type="spellStart"/>
      <w:r w:rsidRPr="001962EB">
        <w:rPr>
          <w:rFonts w:ascii="Times New Roman" w:hAnsi="Times New Roman"/>
          <w:i/>
        </w:rPr>
        <w:t>practices</w:t>
      </w:r>
      <w:proofErr w:type="spellEnd"/>
      <w:r w:rsidRPr="001962EB">
        <w:rPr>
          <w:rFonts w:ascii="Times New Roman" w:hAnsi="Times New Roman"/>
        </w:rPr>
        <w:t xml:space="preserve">, insieme ad abilità comunicative specifiche </w:t>
      </w:r>
      <w:r w:rsidR="0020025E" w:rsidRPr="001962EB">
        <w:rPr>
          <w:rFonts w:ascii="Times New Roman" w:hAnsi="Times New Roman"/>
        </w:rPr>
        <w:t>per il</w:t>
      </w:r>
      <w:r w:rsidRPr="001962EB">
        <w:rPr>
          <w:rFonts w:ascii="Times New Roman" w:hAnsi="Times New Roman"/>
        </w:rPr>
        <w:t xml:space="preserve"> settore </w:t>
      </w:r>
      <w:r w:rsidR="00E54EEB" w:rsidRPr="001962EB">
        <w:rPr>
          <w:rFonts w:ascii="Times New Roman" w:hAnsi="Times New Roman"/>
        </w:rPr>
        <w:t>viti</w:t>
      </w:r>
      <w:r w:rsidRPr="001962EB">
        <w:rPr>
          <w:rFonts w:ascii="Times New Roman" w:hAnsi="Times New Roman"/>
        </w:rPr>
        <w:t>vinicolo.</w:t>
      </w:r>
    </w:p>
    <w:p w14:paraId="6CFBFBBE" w14:textId="77777777" w:rsidR="001962EB" w:rsidRDefault="001962EB" w:rsidP="001962EB">
      <w:pPr>
        <w:tabs>
          <w:tab w:val="clear" w:pos="284"/>
        </w:tabs>
        <w:spacing w:after="120" w:line="240" w:lineRule="auto"/>
        <w:rPr>
          <w:rFonts w:ascii="Times New Roman" w:hAnsi="Times New Roman"/>
          <w:b/>
          <w:i/>
        </w:rPr>
      </w:pPr>
    </w:p>
    <w:p w14:paraId="19F59F3D" w14:textId="77777777" w:rsidR="003E09BF" w:rsidRPr="00E211EA" w:rsidRDefault="00AA0CB4" w:rsidP="00E211EA">
      <w:pPr>
        <w:tabs>
          <w:tab w:val="clear" w:pos="284"/>
        </w:tabs>
        <w:spacing w:after="120" w:line="240" w:lineRule="auto"/>
        <w:rPr>
          <w:rFonts w:ascii="Times New Roman" w:hAnsi="Times New Roman"/>
          <w:b/>
          <w:i/>
        </w:rPr>
      </w:pPr>
      <w:r w:rsidRPr="001962EB">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0"/>
        <w:gridCol w:w="1020"/>
      </w:tblGrid>
      <w:tr w:rsidR="003E09BF" w:rsidRPr="001962EB" w14:paraId="05B5A672" w14:textId="77777777" w:rsidTr="00047680">
        <w:trPr>
          <w:trHeight w:val="362"/>
        </w:trPr>
        <w:tc>
          <w:tcPr>
            <w:tcW w:w="5670" w:type="dxa"/>
            <w:shd w:val="clear" w:color="auto" w:fill="auto"/>
            <w:vAlign w:val="center"/>
          </w:tcPr>
          <w:p w14:paraId="7EEA9A55" w14:textId="77777777" w:rsidR="003E09BF" w:rsidRPr="001962EB" w:rsidRDefault="003E09BF" w:rsidP="00E211EA">
            <w:pPr>
              <w:spacing w:line="240" w:lineRule="auto"/>
              <w:jc w:val="left"/>
              <w:rPr>
                <w:rFonts w:ascii="Times New Roman" w:hAnsi="Times New Roman"/>
              </w:rPr>
            </w:pPr>
            <w:r w:rsidRPr="001962EB">
              <w:rPr>
                <w:rFonts w:ascii="Times New Roman" w:hAnsi="Times New Roman"/>
              </w:rPr>
              <w:t>Contenuti</w:t>
            </w:r>
          </w:p>
        </w:tc>
        <w:tc>
          <w:tcPr>
            <w:tcW w:w="1020" w:type="dxa"/>
            <w:shd w:val="clear" w:color="auto" w:fill="auto"/>
            <w:vAlign w:val="center"/>
          </w:tcPr>
          <w:p w14:paraId="092FB168" w14:textId="77777777" w:rsidR="003E09BF" w:rsidRPr="001962EB" w:rsidRDefault="003E09BF" w:rsidP="00E211EA">
            <w:pPr>
              <w:spacing w:line="240" w:lineRule="auto"/>
              <w:jc w:val="center"/>
              <w:rPr>
                <w:rFonts w:ascii="Times New Roman" w:hAnsi="Times New Roman"/>
                <w:highlight w:val="yellow"/>
              </w:rPr>
            </w:pPr>
            <w:r w:rsidRPr="001962EB">
              <w:rPr>
                <w:rFonts w:ascii="Times New Roman" w:hAnsi="Times New Roman"/>
                <w:color w:val="000000" w:themeColor="text1"/>
              </w:rPr>
              <w:t>CFU</w:t>
            </w:r>
            <w:r w:rsidR="007A46E9" w:rsidRPr="001962EB">
              <w:rPr>
                <w:rFonts w:ascii="Times New Roman" w:hAnsi="Times New Roman"/>
                <w:color w:val="000000" w:themeColor="text1"/>
              </w:rPr>
              <w:t xml:space="preserve"> (6)</w:t>
            </w:r>
          </w:p>
        </w:tc>
      </w:tr>
      <w:tr w:rsidR="003E09BF" w:rsidRPr="001962EB" w14:paraId="08E666B1" w14:textId="77777777" w:rsidTr="00047680">
        <w:tc>
          <w:tcPr>
            <w:tcW w:w="5670" w:type="dxa"/>
            <w:shd w:val="clear" w:color="auto" w:fill="auto"/>
            <w:vAlign w:val="center"/>
          </w:tcPr>
          <w:p w14:paraId="24BF17B7" w14:textId="77777777" w:rsidR="003E09BF" w:rsidRPr="001962EB" w:rsidRDefault="003E09BF" w:rsidP="00E211EA">
            <w:pPr>
              <w:tabs>
                <w:tab w:val="left" w:pos="709"/>
              </w:tabs>
              <w:spacing w:line="240" w:lineRule="auto"/>
              <w:jc w:val="left"/>
              <w:rPr>
                <w:rFonts w:ascii="Times New Roman" w:hAnsi="Times New Roman"/>
              </w:rPr>
            </w:pPr>
            <w:r w:rsidRPr="001962EB">
              <w:rPr>
                <w:rFonts w:ascii="Times New Roman" w:hAnsi="Times New Roman"/>
              </w:rPr>
              <w:t>1.</w:t>
            </w:r>
            <w:r w:rsidRPr="001962EB">
              <w:rPr>
                <w:rFonts w:ascii="Times New Roman" w:hAnsi="Times New Roman"/>
                <w:i/>
              </w:rPr>
              <w:t xml:space="preserve"> Il piano di marketing</w:t>
            </w:r>
            <w:r w:rsidRPr="001962EB">
              <w:rPr>
                <w:rFonts w:ascii="Times New Roman" w:hAnsi="Times New Roman"/>
              </w:rPr>
              <w:t>: definizione del concetto di marketing, descrizione delle fasi di sviluppo di una strategia di marketing e della sua implementazione attraverso le leve operative nell’ambito dei contesti Business to Consumer (B2C).</w:t>
            </w:r>
          </w:p>
        </w:tc>
        <w:tc>
          <w:tcPr>
            <w:tcW w:w="1020" w:type="dxa"/>
            <w:shd w:val="clear" w:color="auto" w:fill="auto"/>
            <w:vAlign w:val="center"/>
          </w:tcPr>
          <w:p w14:paraId="51FD9914"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4670760E" w14:textId="77777777" w:rsidTr="00047680">
        <w:tc>
          <w:tcPr>
            <w:tcW w:w="5670" w:type="dxa"/>
            <w:shd w:val="clear" w:color="auto" w:fill="auto"/>
            <w:vAlign w:val="center"/>
          </w:tcPr>
          <w:p w14:paraId="09FE404A" w14:textId="77777777" w:rsidR="003E09BF" w:rsidRPr="001962EB" w:rsidRDefault="003E09BF" w:rsidP="00E211EA">
            <w:pPr>
              <w:tabs>
                <w:tab w:val="left" w:pos="709"/>
              </w:tabs>
              <w:spacing w:line="240" w:lineRule="auto"/>
              <w:jc w:val="left"/>
              <w:rPr>
                <w:rFonts w:ascii="Times New Roman" w:hAnsi="Times New Roman"/>
              </w:rPr>
            </w:pPr>
            <w:r w:rsidRPr="001962EB">
              <w:rPr>
                <w:rFonts w:ascii="Times New Roman" w:hAnsi="Times New Roman"/>
                <w:i/>
              </w:rPr>
              <w:t>2. Il processo di acquisto</w:t>
            </w:r>
            <w:r w:rsidRPr="001962EB">
              <w:rPr>
                <w:rFonts w:ascii="Times New Roman" w:hAnsi="Times New Roman"/>
              </w:rPr>
              <w:t>: applicazione delle differenti tecniche di ricerche di mercato per comprendere i fattori-guida delle scelte di acquisto, per segmentare il mercato di riferimento e per prevedere le dinamiche future dei consumi.</w:t>
            </w:r>
          </w:p>
        </w:tc>
        <w:tc>
          <w:tcPr>
            <w:tcW w:w="1020" w:type="dxa"/>
            <w:shd w:val="clear" w:color="auto" w:fill="auto"/>
            <w:vAlign w:val="center"/>
          </w:tcPr>
          <w:p w14:paraId="79F4FBE5"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5110D37B" w14:textId="77777777" w:rsidTr="00047680">
        <w:tc>
          <w:tcPr>
            <w:tcW w:w="5670" w:type="dxa"/>
            <w:shd w:val="clear" w:color="auto" w:fill="auto"/>
            <w:vAlign w:val="center"/>
          </w:tcPr>
          <w:p w14:paraId="636DC649" w14:textId="77777777" w:rsidR="003E09BF" w:rsidRPr="001962EB" w:rsidRDefault="003E09BF" w:rsidP="00E211EA">
            <w:pPr>
              <w:tabs>
                <w:tab w:val="left" w:pos="426"/>
              </w:tabs>
              <w:spacing w:line="240" w:lineRule="auto"/>
              <w:jc w:val="left"/>
              <w:rPr>
                <w:rFonts w:ascii="Times New Roman" w:hAnsi="Times New Roman"/>
              </w:rPr>
            </w:pPr>
            <w:r w:rsidRPr="001962EB">
              <w:rPr>
                <w:rFonts w:ascii="Times New Roman" w:hAnsi="Times New Roman"/>
              </w:rPr>
              <w:t xml:space="preserve">3. </w:t>
            </w:r>
            <w:r w:rsidRPr="001962EB">
              <w:rPr>
                <w:rFonts w:ascii="Times New Roman" w:hAnsi="Times New Roman"/>
                <w:i/>
              </w:rPr>
              <w:t>Analisi della concorrenza</w:t>
            </w:r>
            <w:r w:rsidRPr="001962EB">
              <w:rPr>
                <w:rFonts w:ascii="Times New Roman" w:hAnsi="Times New Roman"/>
              </w:rPr>
              <w:t>: valutazione degli elementi di differenziazione delle imprese, mappatura dei posizionamenti competitivi aziendali (punti di forza e di debolezza), identificazione delle aree di sviluppo potenziale</w:t>
            </w:r>
          </w:p>
        </w:tc>
        <w:tc>
          <w:tcPr>
            <w:tcW w:w="1020" w:type="dxa"/>
            <w:shd w:val="clear" w:color="auto" w:fill="auto"/>
            <w:vAlign w:val="center"/>
          </w:tcPr>
          <w:p w14:paraId="055CB823"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14D14FB4" w14:textId="77777777" w:rsidTr="00047680">
        <w:tc>
          <w:tcPr>
            <w:tcW w:w="5670" w:type="dxa"/>
            <w:shd w:val="clear" w:color="auto" w:fill="auto"/>
            <w:vAlign w:val="center"/>
          </w:tcPr>
          <w:p w14:paraId="0D8DFB71" w14:textId="77777777" w:rsidR="003E09BF" w:rsidRPr="001962EB" w:rsidRDefault="003E09BF" w:rsidP="00E211EA">
            <w:pPr>
              <w:tabs>
                <w:tab w:val="left" w:pos="426"/>
              </w:tabs>
              <w:spacing w:line="240" w:lineRule="auto"/>
              <w:jc w:val="left"/>
              <w:rPr>
                <w:rFonts w:ascii="Times New Roman" w:hAnsi="Times New Roman"/>
              </w:rPr>
            </w:pPr>
            <w:r w:rsidRPr="001962EB">
              <w:rPr>
                <w:rFonts w:ascii="Times New Roman" w:hAnsi="Times New Roman"/>
              </w:rPr>
              <w:t xml:space="preserve">4. </w:t>
            </w:r>
            <w:r w:rsidRPr="001962EB">
              <w:rPr>
                <w:rFonts w:ascii="Times New Roman" w:hAnsi="Times New Roman"/>
                <w:i/>
              </w:rPr>
              <w:t>Leve di marketing-mix</w:t>
            </w:r>
            <w:r w:rsidRPr="001962EB">
              <w:rPr>
                <w:rFonts w:ascii="Times New Roman" w:hAnsi="Times New Roman"/>
              </w:rPr>
              <w:t>: gestione del portafoglio-prodotti, lancio di nuovi prodotti, politiche di prezzo e di promozione, strategie di comunicazione e media-mix, utilizzo dei social media, scelta dei canali distributivi.</w:t>
            </w:r>
          </w:p>
        </w:tc>
        <w:tc>
          <w:tcPr>
            <w:tcW w:w="1020" w:type="dxa"/>
            <w:shd w:val="clear" w:color="auto" w:fill="auto"/>
            <w:vAlign w:val="center"/>
          </w:tcPr>
          <w:p w14:paraId="1AF3C4CB"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7040AA2E" w14:textId="77777777" w:rsidTr="00047680">
        <w:tc>
          <w:tcPr>
            <w:tcW w:w="5670" w:type="dxa"/>
            <w:shd w:val="clear" w:color="auto" w:fill="auto"/>
            <w:vAlign w:val="center"/>
          </w:tcPr>
          <w:p w14:paraId="3CEB6975" w14:textId="123A2789" w:rsidR="003E09BF" w:rsidRPr="001962EB" w:rsidRDefault="003E09BF" w:rsidP="00E211EA">
            <w:pPr>
              <w:tabs>
                <w:tab w:val="left" w:pos="426"/>
              </w:tabs>
              <w:spacing w:line="240" w:lineRule="auto"/>
              <w:jc w:val="left"/>
              <w:rPr>
                <w:rFonts w:ascii="Times New Roman" w:hAnsi="Times New Roman"/>
              </w:rPr>
            </w:pPr>
            <w:r w:rsidRPr="001962EB">
              <w:rPr>
                <w:rFonts w:ascii="Times New Roman" w:hAnsi="Times New Roman"/>
              </w:rPr>
              <w:lastRenderedPageBreak/>
              <w:t xml:space="preserve">5. </w:t>
            </w:r>
            <w:r w:rsidRPr="001962EB">
              <w:rPr>
                <w:rFonts w:ascii="Times New Roman" w:hAnsi="Times New Roman"/>
                <w:i/>
              </w:rPr>
              <w:t>Evoluzione del mercato del vino</w:t>
            </w:r>
            <w:r w:rsidRPr="001962EB">
              <w:rPr>
                <w:rFonts w:ascii="Times New Roman" w:hAnsi="Times New Roman"/>
              </w:rPr>
              <w:t xml:space="preserve">: volumi e trend </w:t>
            </w:r>
            <w:r w:rsidR="00E37A04">
              <w:rPr>
                <w:rFonts w:ascii="Times New Roman" w:hAnsi="Times New Roman"/>
              </w:rPr>
              <w:t>dei consumi</w:t>
            </w:r>
            <w:r w:rsidRPr="001962EB">
              <w:rPr>
                <w:rFonts w:ascii="Times New Roman" w:hAnsi="Times New Roman"/>
              </w:rPr>
              <w:t>, relazioni verticali di filiera (tra produttori e distributori), dinamiche</w:t>
            </w:r>
            <w:r w:rsidR="00E37A04">
              <w:rPr>
                <w:rFonts w:ascii="Times New Roman" w:hAnsi="Times New Roman"/>
              </w:rPr>
              <w:t xml:space="preserve"> </w:t>
            </w:r>
            <w:r w:rsidRPr="001962EB">
              <w:rPr>
                <w:rFonts w:ascii="Times New Roman" w:hAnsi="Times New Roman"/>
              </w:rPr>
              <w:t xml:space="preserve">e tendenze emergenti nei modelli di </w:t>
            </w:r>
            <w:r w:rsidR="00E37A04">
              <w:rPr>
                <w:rFonts w:ascii="Times New Roman" w:hAnsi="Times New Roman"/>
              </w:rPr>
              <w:t>acquisto</w:t>
            </w:r>
            <w:r w:rsidRPr="001962EB">
              <w:rPr>
                <w:rFonts w:ascii="Times New Roman" w:hAnsi="Times New Roman"/>
              </w:rPr>
              <w:t>.</w:t>
            </w:r>
          </w:p>
        </w:tc>
        <w:tc>
          <w:tcPr>
            <w:tcW w:w="1020" w:type="dxa"/>
            <w:shd w:val="clear" w:color="auto" w:fill="auto"/>
            <w:vAlign w:val="center"/>
          </w:tcPr>
          <w:p w14:paraId="2E3988C5"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1D6CB892" w14:textId="77777777" w:rsidTr="00047680">
        <w:trPr>
          <w:trHeight w:val="939"/>
        </w:trPr>
        <w:tc>
          <w:tcPr>
            <w:tcW w:w="5670" w:type="dxa"/>
            <w:shd w:val="clear" w:color="auto" w:fill="auto"/>
            <w:vAlign w:val="center"/>
          </w:tcPr>
          <w:p w14:paraId="7BCDA4E3" w14:textId="0C497B15" w:rsidR="003E09BF" w:rsidRPr="001962EB" w:rsidRDefault="003E09BF" w:rsidP="00E211EA">
            <w:pPr>
              <w:tabs>
                <w:tab w:val="left" w:pos="426"/>
              </w:tabs>
              <w:snapToGrid w:val="0"/>
              <w:spacing w:line="240" w:lineRule="auto"/>
              <w:jc w:val="left"/>
              <w:rPr>
                <w:rFonts w:ascii="Times New Roman" w:hAnsi="Times New Roman"/>
              </w:rPr>
            </w:pPr>
            <w:r w:rsidRPr="001962EB">
              <w:rPr>
                <w:rFonts w:ascii="Times New Roman" w:hAnsi="Times New Roman"/>
              </w:rPr>
              <w:t xml:space="preserve">6. </w:t>
            </w:r>
            <w:r w:rsidRPr="001962EB">
              <w:rPr>
                <w:rFonts w:ascii="Times New Roman" w:hAnsi="Times New Roman"/>
                <w:i/>
              </w:rPr>
              <w:t>Marketing del vino</w:t>
            </w:r>
            <w:r w:rsidRPr="001962EB">
              <w:rPr>
                <w:rFonts w:ascii="Times New Roman" w:hAnsi="Times New Roman"/>
              </w:rPr>
              <w:t>: adattamento dei principi e degli strumenti generali di marketing al settore, discussione di specifiche case histories a livello nazionale e internazionale</w:t>
            </w:r>
            <w:r w:rsidR="007D62C2" w:rsidRPr="001962EB">
              <w:rPr>
                <w:rFonts w:ascii="Times New Roman" w:hAnsi="Times New Roman"/>
              </w:rPr>
              <w:t>, attraverso specifiche esercitazioni</w:t>
            </w:r>
          </w:p>
          <w:p w14:paraId="1B3B942D" w14:textId="77777777" w:rsidR="003E09BF" w:rsidRPr="001962EB" w:rsidRDefault="003E09BF" w:rsidP="00E211EA">
            <w:pPr>
              <w:tabs>
                <w:tab w:val="left" w:pos="426"/>
              </w:tabs>
              <w:snapToGrid w:val="0"/>
              <w:spacing w:line="240" w:lineRule="auto"/>
              <w:ind w:hanging="284"/>
              <w:jc w:val="left"/>
              <w:rPr>
                <w:rFonts w:ascii="Times New Roman" w:hAnsi="Times New Roman"/>
              </w:rPr>
            </w:pPr>
            <w:r w:rsidRPr="001962EB">
              <w:rPr>
                <w:rFonts w:ascii="Times New Roman" w:hAnsi="Times New Roman"/>
              </w:rPr>
              <w:t>.</w:t>
            </w:r>
          </w:p>
        </w:tc>
        <w:tc>
          <w:tcPr>
            <w:tcW w:w="1020" w:type="dxa"/>
            <w:shd w:val="clear" w:color="auto" w:fill="auto"/>
            <w:vAlign w:val="center"/>
          </w:tcPr>
          <w:p w14:paraId="57B031A0" w14:textId="77777777" w:rsidR="003E09BF" w:rsidRPr="001962EB" w:rsidRDefault="003E09BF" w:rsidP="00E211EA">
            <w:pPr>
              <w:snapToGrid w:val="0"/>
              <w:spacing w:line="240" w:lineRule="auto"/>
              <w:jc w:val="center"/>
              <w:rPr>
                <w:rFonts w:ascii="Times New Roman" w:hAnsi="Times New Roman"/>
              </w:rPr>
            </w:pPr>
            <w:r w:rsidRPr="001962EB">
              <w:rPr>
                <w:rFonts w:ascii="Times New Roman" w:hAnsi="Times New Roman"/>
              </w:rPr>
              <w:t>1.0</w:t>
            </w:r>
          </w:p>
        </w:tc>
      </w:tr>
    </w:tbl>
    <w:p w14:paraId="6EF16CAA" w14:textId="77777777" w:rsidR="001962EB" w:rsidRDefault="001962EB" w:rsidP="001962EB">
      <w:pPr>
        <w:tabs>
          <w:tab w:val="clear" w:pos="284"/>
        </w:tabs>
        <w:spacing w:after="120" w:line="240" w:lineRule="auto"/>
        <w:rPr>
          <w:rFonts w:ascii="Times New Roman" w:hAnsi="Times New Roman"/>
          <w:b/>
          <w:i/>
        </w:rPr>
      </w:pPr>
    </w:p>
    <w:p w14:paraId="3EE2955E" w14:textId="77777777" w:rsidR="00297D06" w:rsidRPr="001962EB" w:rsidRDefault="00297D06" w:rsidP="001962EB">
      <w:pPr>
        <w:tabs>
          <w:tab w:val="clear" w:pos="284"/>
        </w:tabs>
        <w:spacing w:after="120" w:line="240" w:lineRule="auto"/>
        <w:rPr>
          <w:rFonts w:ascii="Times New Roman" w:hAnsi="Times New Roman"/>
          <w:b/>
          <w:i/>
        </w:rPr>
      </w:pPr>
      <w:r w:rsidRPr="001962EB">
        <w:rPr>
          <w:rFonts w:ascii="Times New Roman" w:hAnsi="Times New Roman"/>
          <w:b/>
          <w:i/>
        </w:rPr>
        <w:t>BIBLIOGRAFIA</w:t>
      </w:r>
    </w:p>
    <w:p w14:paraId="1589084C" w14:textId="77777777" w:rsidR="00AA0CB4" w:rsidRPr="001962EB" w:rsidRDefault="0078574A" w:rsidP="001962EB">
      <w:pPr>
        <w:spacing w:after="120" w:line="240" w:lineRule="auto"/>
        <w:rPr>
          <w:rFonts w:ascii="Times New Roman" w:hAnsi="Times New Roman"/>
        </w:rPr>
      </w:pPr>
      <w:r w:rsidRPr="001962EB">
        <w:rPr>
          <w:rFonts w:ascii="Times New Roman" w:hAnsi="Times New Roman"/>
        </w:rPr>
        <w:t>La bibliografia d’esame è costituita da una dispensa di letture aggiornate, predisposta dal Docente. Tale bibliografia sarà differenziata tra studenti frequentanti e non-frequentanti. Per entrambe le tipologie di studenti la rispettiva dispensa di letture verrà comunicata all’inizio delle lezioni e messa a disposizione sulla piattaforma “</w:t>
      </w:r>
      <w:proofErr w:type="spellStart"/>
      <w:r w:rsidRPr="001962EB">
        <w:rPr>
          <w:rFonts w:ascii="Times New Roman" w:hAnsi="Times New Roman"/>
        </w:rPr>
        <w:t>Blackboard</w:t>
      </w:r>
      <w:proofErr w:type="spellEnd"/>
      <w:r w:rsidRPr="001962EB">
        <w:rPr>
          <w:rFonts w:ascii="Times New Roman" w:hAnsi="Times New Roman"/>
        </w:rPr>
        <w:t>” (nella sezione “Materiali”).</w:t>
      </w:r>
    </w:p>
    <w:p w14:paraId="45101A95" w14:textId="77777777" w:rsidR="001962EB" w:rsidRDefault="001962EB" w:rsidP="001962EB">
      <w:pPr>
        <w:tabs>
          <w:tab w:val="clear" w:pos="284"/>
        </w:tabs>
        <w:spacing w:after="120" w:line="240" w:lineRule="auto"/>
        <w:rPr>
          <w:rFonts w:ascii="Times New Roman" w:hAnsi="Times New Roman"/>
          <w:b/>
          <w:i/>
        </w:rPr>
      </w:pPr>
    </w:p>
    <w:p w14:paraId="15D8B134" w14:textId="77777777" w:rsidR="00AA0CB4" w:rsidRPr="001962EB" w:rsidRDefault="00AA0CB4" w:rsidP="001962EB">
      <w:pPr>
        <w:tabs>
          <w:tab w:val="clear" w:pos="284"/>
        </w:tabs>
        <w:spacing w:after="120" w:line="240" w:lineRule="auto"/>
        <w:rPr>
          <w:rFonts w:ascii="Times New Roman" w:hAnsi="Times New Roman"/>
          <w:b/>
          <w:i/>
        </w:rPr>
      </w:pPr>
      <w:r w:rsidRPr="001962EB">
        <w:rPr>
          <w:rFonts w:ascii="Times New Roman" w:hAnsi="Times New Roman"/>
          <w:b/>
          <w:i/>
        </w:rPr>
        <w:t>DIDATTICA DEL CORSO</w:t>
      </w:r>
    </w:p>
    <w:p w14:paraId="3512E106" w14:textId="37CEB4BA" w:rsidR="00AA0CB4" w:rsidRPr="001962EB" w:rsidRDefault="00297D06" w:rsidP="001962EB">
      <w:pPr>
        <w:spacing w:after="120" w:line="240" w:lineRule="auto"/>
        <w:rPr>
          <w:rFonts w:ascii="Times New Roman" w:hAnsi="Times New Roman"/>
        </w:rPr>
      </w:pPr>
      <w:r w:rsidRPr="001962EB">
        <w:rPr>
          <w:rFonts w:ascii="Times New Roman" w:hAnsi="Times New Roman"/>
        </w:rPr>
        <w:t xml:space="preserve">Le lezioni frontali in aula saranno integrate da alcune testimonianze manageriali di aziende operanti nel settore </w:t>
      </w:r>
      <w:r w:rsidR="003427C5" w:rsidRPr="001962EB">
        <w:rPr>
          <w:rFonts w:ascii="Times New Roman" w:hAnsi="Times New Roman"/>
        </w:rPr>
        <w:t>vitivinicolo</w:t>
      </w:r>
      <w:r w:rsidRPr="001962EB">
        <w:rPr>
          <w:rFonts w:ascii="Times New Roman" w:hAnsi="Times New Roman"/>
        </w:rPr>
        <w:t xml:space="preserve">. Inoltre, agli studenti frequentanti verranno proposte una serie di </w:t>
      </w:r>
      <w:r w:rsidRPr="001962EB">
        <w:rPr>
          <w:rFonts w:ascii="Times New Roman" w:hAnsi="Times New Roman"/>
          <w:i/>
        </w:rPr>
        <w:t>case histories</w:t>
      </w:r>
      <w:r w:rsidRPr="001962EB">
        <w:rPr>
          <w:rFonts w:ascii="Times New Roman" w:hAnsi="Times New Roman"/>
        </w:rPr>
        <w:t xml:space="preserve"> </w:t>
      </w:r>
      <w:r w:rsidR="00E37A04">
        <w:rPr>
          <w:rFonts w:ascii="Times New Roman" w:hAnsi="Times New Roman"/>
        </w:rPr>
        <w:t>aziendali</w:t>
      </w:r>
      <w:r w:rsidRPr="001962EB">
        <w:rPr>
          <w:rFonts w:ascii="Times New Roman" w:hAnsi="Times New Roman"/>
        </w:rPr>
        <w:t xml:space="preserve"> di attualità</w:t>
      </w:r>
      <w:r w:rsidR="00E37A04">
        <w:rPr>
          <w:rFonts w:ascii="Times New Roman" w:hAnsi="Times New Roman"/>
        </w:rPr>
        <w:t>,</w:t>
      </w:r>
      <w:r w:rsidRPr="001962EB">
        <w:rPr>
          <w:rFonts w:ascii="Times New Roman" w:hAnsi="Times New Roman"/>
        </w:rPr>
        <w:t xml:space="preserve"> da discutere collettivamente in aula sia durante le lezioni </w:t>
      </w:r>
      <w:r w:rsidR="00E37A04">
        <w:rPr>
          <w:rFonts w:ascii="Times New Roman" w:hAnsi="Times New Roman"/>
        </w:rPr>
        <w:t xml:space="preserve">frontali </w:t>
      </w:r>
      <w:r w:rsidRPr="001962EB">
        <w:rPr>
          <w:rFonts w:ascii="Times New Roman" w:hAnsi="Times New Roman"/>
        </w:rPr>
        <w:t>che durante le ore di esercitazione.</w:t>
      </w:r>
    </w:p>
    <w:p w14:paraId="304F6172" w14:textId="77777777" w:rsidR="001962EB" w:rsidRDefault="001962EB" w:rsidP="001962EB">
      <w:pPr>
        <w:tabs>
          <w:tab w:val="clear" w:pos="284"/>
        </w:tabs>
        <w:spacing w:after="120" w:line="240" w:lineRule="auto"/>
        <w:rPr>
          <w:rFonts w:ascii="Times New Roman" w:hAnsi="Times New Roman"/>
          <w:b/>
          <w:i/>
        </w:rPr>
      </w:pPr>
    </w:p>
    <w:p w14:paraId="705A2A14" w14:textId="77777777" w:rsidR="006713E0" w:rsidRPr="001962EB" w:rsidRDefault="00AA0CB4" w:rsidP="001962EB">
      <w:pPr>
        <w:tabs>
          <w:tab w:val="clear" w:pos="284"/>
        </w:tabs>
        <w:spacing w:after="120" w:line="240" w:lineRule="auto"/>
        <w:rPr>
          <w:rFonts w:ascii="Times New Roman" w:hAnsi="Times New Roman"/>
          <w:b/>
          <w:i/>
        </w:rPr>
      </w:pPr>
      <w:r w:rsidRPr="001962EB">
        <w:rPr>
          <w:rFonts w:ascii="Times New Roman" w:hAnsi="Times New Roman"/>
          <w:b/>
          <w:i/>
        </w:rPr>
        <w:t xml:space="preserve">METODO </w:t>
      </w:r>
      <w:r w:rsidR="00E42338" w:rsidRPr="001962EB">
        <w:rPr>
          <w:rFonts w:ascii="Times New Roman" w:hAnsi="Times New Roman"/>
          <w:b/>
          <w:i/>
        </w:rPr>
        <w:t xml:space="preserve">E CRITERI DI </w:t>
      </w:r>
      <w:r w:rsidRPr="001962EB">
        <w:rPr>
          <w:rFonts w:ascii="Times New Roman" w:hAnsi="Times New Roman"/>
          <w:b/>
          <w:i/>
        </w:rPr>
        <w:t>VALUTAZIONE</w:t>
      </w:r>
    </w:p>
    <w:p w14:paraId="4E0D2F09" w14:textId="77777777" w:rsidR="00297D06" w:rsidRPr="001962EB" w:rsidRDefault="00297D06" w:rsidP="001962EB">
      <w:pPr>
        <w:spacing w:after="120" w:line="240" w:lineRule="auto"/>
        <w:rPr>
          <w:rFonts w:ascii="Times New Roman" w:hAnsi="Times New Roman"/>
        </w:rPr>
      </w:pPr>
      <w:r w:rsidRPr="001962EB">
        <w:rPr>
          <w:rFonts w:ascii="Times New Roman" w:hAnsi="Times New Roman"/>
        </w:rPr>
        <w:t xml:space="preserve">L’esame finale è in forma scritta e prevede domande aperte finalizzate a valutare la capacità degli studenti di applicare in modo critico le conoscenze acquisite attraverso lo studio dei temi oggetto di verifica. Le domande vengono formulate in modo tale da verificare non soltanto la capacità di apprendimento dello studente, ma anche la sua autonomia di giudizio e abilità comunicativa. A tal fine </w:t>
      </w:r>
      <w:r w:rsidR="00E42338" w:rsidRPr="001962EB">
        <w:rPr>
          <w:rFonts w:ascii="Times New Roman" w:hAnsi="Times New Roman"/>
        </w:rPr>
        <w:t>il metodo e i criteri di valutazione</w:t>
      </w:r>
      <w:r w:rsidRPr="001962EB">
        <w:rPr>
          <w:rFonts w:ascii="Times New Roman" w:hAnsi="Times New Roman"/>
        </w:rPr>
        <w:t xml:space="preserve"> sono differenziat</w:t>
      </w:r>
      <w:r w:rsidR="00E42338" w:rsidRPr="001962EB">
        <w:rPr>
          <w:rFonts w:ascii="Times New Roman" w:hAnsi="Times New Roman"/>
        </w:rPr>
        <w:t>i</w:t>
      </w:r>
      <w:r w:rsidRPr="001962EB">
        <w:rPr>
          <w:rFonts w:ascii="Times New Roman" w:hAnsi="Times New Roman"/>
        </w:rPr>
        <w:t xml:space="preserve"> tra studenti frequentanti e non frequentanti. </w:t>
      </w:r>
    </w:p>
    <w:p w14:paraId="6AD24A27" w14:textId="77777777" w:rsidR="00F971E6" w:rsidRPr="001962EB" w:rsidRDefault="00297D06" w:rsidP="001962EB">
      <w:pPr>
        <w:spacing w:after="120" w:line="240" w:lineRule="auto"/>
        <w:rPr>
          <w:rFonts w:ascii="Times New Roman" w:hAnsi="Times New Roman"/>
        </w:rPr>
      </w:pPr>
      <w:r w:rsidRPr="001962EB">
        <w:rPr>
          <w:rFonts w:ascii="Times New Roman" w:hAnsi="Times New Roman"/>
        </w:rPr>
        <w:t xml:space="preserve">In particolare, per i frequentanti viene verificata la capacità di integrare i contenuti teorici con gli insegnamenti </w:t>
      </w:r>
      <w:r w:rsidR="003427C5" w:rsidRPr="001962EB">
        <w:rPr>
          <w:rFonts w:ascii="Times New Roman" w:hAnsi="Times New Roman"/>
        </w:rPr>
        <w:t xml:space="preserve">operativi </w:t>
      </w:r>
      <w:r w:rsidRPr="001962EB">
        <w:rPr>
          <w:rFonts w:ascii="Times New Roman" w:hAnsi="Times New Roman"/>
        </w:rPr>
        <w:t xml:space="preserve">ricavabili dalle testimonianze manageriali e dalla discussione delle </w:t>
      </w:r>
      <w:r w:rsidRPr="001962EB">
        <w:rPr>
          <w:rFonts w:ascii="Times New Roman" w:hAnsi="Times New Roman"/>
          <w:i/>
        </w:rPr>
        <w:t>case histories</w:t>
      </w:r>
      <w:r w:rsidRPr="001962EB">
        <w:rPr>
          <w:rFonts w:ascii="Times New Roman" w:hAnsi="Times New Roman"/>
        </w:rPr>
        <w:t xml:space="preserve"> aziendali. Per gli studenti non</w:t>
      </w:r>
      <w:r w:rsidR="00F25DB8" w:rsidRPr="001962EB">
        <w:rPr>
          <w:rFonts w:ascii="Times New Roman" w:hAnsi="Times New Roman"/>
        </w:rPr>
        <w:t>-</w:t>
      </w:r>
      <w:r w:rsidRPr="001962EB">
        <w:rPr>
          <w:rFonts w:ascii="Times New Roman" w:hAnsi="Times New Roman"/>
        </w:rPr>
        <w:t>frequentanti, invece, le domande riguardano esclusivamente i contenuti dell’intera bibliografia d’esame.</w:t>
      </w:r>
    </w:p>
    <w:p w14:paraId="2073AADD" w14:textId="1FF7E967" w:rsidR="0068713E" w:rsidRPr="001962EB" w:rsidRDefault="00E42338" w:rsidP="001962EB">
      <w:pPr>
        <w:spacing w:after="120" w:line="240" w:lineRule="auto"/>
        <w:rPr>
          <w:rFonts w:ascii="Times New Roman" w:hAnsi="Times New Roman"/>
        </w:rPr>
      </w:pPr>
      <w:r w:rsidRPr="001962EB">
        <w:rPr>
          <w:rFonts w:ascii="Times New Roman" w:hAnsi="Times New Roman"/>
        </w:rPr>
        <w:t xml:space="preserve">Per gli studenti frequentanti la valutazione finale </w:t>
      </w:r>
      <w:r w:rsidR="00CC73FD" w:rsidRPr="001962EB">
        <w:rPr>
          <w:rFonts w:ascii="Times New Roman" w:hAnsi="Times New Roman"/>
        </w:rPr>
        <w:t>viene</w:t>
      </w:r>
      <w:r w:rsidRPr="001962EB">
        <w:rPr>
          <w:rFonts w:ascii="Times New Roman" w:hAnsi="Times New Roman"/>
        </w:rPr>
        <w:t xml:space="preserve"> ottenuta dalla media ponderata dei voti ottenuti in due prove scritte, una a metà corso (50%) e una a fine corso (50%). L</w:t>
      </w:r>
      <w:r w:rsidR="00297D06" w:rsidRPr="001962EB">
        <w:rPr>
          <w:rFonts w:ascii="Times New Roman" w:hAnsi="Times New Roman"/>
        </w:rPr>
        <w:t xml:space="preserve">a prova </w:t>
      </w:r>
      <w:r w:rsidR="004A05A2" w:rsidRPr="001962EB">
        <w:rPr>
          <w:rFonts w:ascii="Times New Roman" w:hAnsi="Times New Roman"/>
        </w:rPr>
        <w:t>di metà corso (50%) si basa</w:t>
      </w:r>
      <w:r w:rsidR="00297D06" w:rsidRPr="001962EB">
        <w:rPr>
          <w:rFonts w:ascii="Times New Roman" w:hAnsi="Times New Roman"/>
        </w:rPr>
        <w:t xml:space="preserve"> su </w:t>
      </w:r>
      <w:r w:rsidR="003D2D23">
        <w:rPr>
          <w:rFonts w:ascii="Times New Roman" w:hAnsi="Times New Roman"/>
        </w:rPr>
        <w:t>tre</w:t>
      </w:r>
      <w:r w:rsidR="00297D06" w:rsidRPr="001962EB">
        <w:rPr>
          <w:rFonts w:ascii="Times New Roman" w:hAnsi="Times New Roman"/>
        </w:rPr>
        <w:t xml:space="preserve"> domande</w:t>
      </w:r>
      <w:r w:rsidR="004A05A2" w:rsidRPr="001962EB">
        <w:rPr>
          <w:rFonts w:ascii="Times New Roman" w:hAnsi="Times New Roman"/>
        </w:rPr>
        <w:t xml:space="preserve">, relative alla prima parte del programma. </w:t>
      </w:r>
      <w:r w:rsidR="00297D06" w:rsidRPr="001962EB">
        <w:rPr>
          <w:rFonts w:ascii="Times New Roman" w:hAnsi="Times New Roman"/>
        </w:rPr>
        <w:t xml:space="preserve">La durata complessiva della prova è di </w:t>
      </w:r>
      <w:r w:rsidR="003D2D23">
        <w:rPr>
          <w:rFonts w:ascii="Times New Roman" w:hAnsi="Times New Roman"/>
        </w:rPr>
        <w:t>45</w:t>
      </w:r>
      <w:r w:rsidR="00297D06" w:rsidRPr="001962EB">
        <w:rPr>
          <w:rFonts w:ascii="Times New Roman" w:hAnsi="Times New Roman"/>
        </w:rPr>
        <w:t xml:space="preserve"> minuti. Per ogni domanda viene assegnato un tempo di risposta pari a 15 minuti. Le </w:t>
      </w:r>
      <w:r w:rsidR="003D2D23">
        <w:rPr>
          <w:rFonts w:ascii="Times New Roman" w:hAnsi="Times New Roman"/>
        </w:rPr>
        <w:t>tre</w:t>
      </w:r>
      <w:r w:rsidR="00297D06" w:rsidRPr="001962EB">
        <w:rPr>
          <w:rFonts w:ascii="Times New Roman" w:hAnsi="Times New Roman"/>
        </w:rPr>
        <w:t xml:space="preserve"> domande hanno uguale peso, valutato attraverso un punteggio da 0 (in caso di mancata risposta) a 1</w:t>
      </w:r>
      <w:r w:rsidR="003D2D23">
        <w:rPr>
          <w:rFonts w:ascii="Times New Roman" w:hAnsi="Times New Roman"/>
        </w:rPr>
        <w:t>0</w:t>
      </w:r>
      <w:r w:rsidR="00297D06" w:rsidRPr="001962EB">
        <w:rPr>
          <w:rFonts w:ascii="Times New Roman" w:hAnsi="Times New Roman"/>
        </w:rPr>
        <w:t xml:space="preserve"> (in caso di risposta eccellente). </w:t>
      </w:r>
      <w:r w:rsidR="004A05A2" w:rsidRPr="001962EB">
        <w:rPr>
          <w:rFonts w:ascii="Times New Roman" w:hAnsi="Times New Roman"/>
        </w:rPr>
        <w:t xml:space="preserve">Allo stesso modo, la prova di fine corso (50%) si basa su </w:t>
      </w:r>
      <w:r w:rsidR="003D2D23">
        <w:rPr>
          <w:rFonts w:ascii="Times New Roman" w:hAnsi="Times New Roman"/>
        </w:rPr>
        <w:t>tre</w:t>
      </w:r>
      <w:r w:rsidR="004A05A2" w:rsidRPr="001962EB">
        <w:rPr>
          <w:rFonts w:ascii="Times New Roman" w:hAnsi="Times New Roman"/>
        </w:rPr>
        <w:t xml:space="preserve"> domande, relative alla seconda parte del programma. La durata complessiva della prova è di </w:t>
      </w:r>
      <w:r w:rsidR="003D2D23">
        <w:rPr>
          <w:rFonts w:ascii="Times New Roman" w:hAnsi="Times New Roman"/>
        </w:rPr>
        <w:t>45</w:t>
      </w:r>
      <w:r w:rsidR="004A05A2" w:rsidRPr="001962EB">
        <w:rPr>
          <w:rFonts w:ascii="Times New Roman" w:hAnsi="Times New Roman"/>
        </w:rPr>
        <w:t xml:space="preserve"> minuti. Per ogni domanda viene assegnato un tempo di risposta pari a 15 minuti. Le due domande hanno uguale peso, valutato attraverso un punteggio da 0 (in caso di mancata risposta) a 1</w:t>
      </w:r>
      <w:r w:rsidR="003D2D23">
        <w:rPr>
          <w:rFonts w:ascii="Times New Roman" w:hAnsi="Times New Roman"/>
        </w:rPr>
        <w:t>0</w:t>
      </w:r>
      <w:r w:rsidR="004A05A2" w:rsidRPr="001962EB">
        <w:rPr>
          <w:rFonts w:ascii="Times New Roman" w:hAnsi="Times New Roman"/>
        </w:rPr>
        <w:t xml:space="preserve"> (in caso di risposta eccellente).   </w:t>
      </w:r>
    </w:p>
    <w:p w14:paraId="106E9AF5" w14:textId="6D139F80" w:rsidR="004A05A2" w:rsidRPr="001962EB" w:rsidRDefault="004A05A2" w:rsidP="001962EB">
      <w:pPr>
        <w:spacing w:after="120" w:line="240" w:lineRule="auto"/>
        <w:rPr>
          <w:rFonts w:ascii="Times New Roman" w:hAnsi="Times New Roman"/>
        </w:rPr>
      </w:pPr>
      <w:r w:rsidRPr="001962EB">
        <w:rPr>
          <w:rFonts w:ascii="Times New Roman" w:hAnsi="Times New Roman"/>
        </w:rPr>
        <w:lastRenderedPageBreak/>
        <w:t>Gli studenti non</w:t>
      </w:r>
      <w:r w:rsidR="001C73C1" w:rsidRPr="001962EB">
        <w:rPr>
          <w:rFonts w:ascii="Times New Roman" w:hAnsi="Times New Roman"/>
        </w:rPr>
        <w:t>-</w:t>
      </w:r>
      <w:r w:rsidRPr="001962EB">
        <w:rPr>
          <w:rFonts w:ascii="Times New Roman" w:hAnsi="Times New Roman"/>
        </w:rPr>
        <w:t>frequentanti</w:t>
      </w:r>
      <w:r w:rsidR="007D28B4" w:rsidRPr="001962EB">
        <w:rPr>
          <w:rFonts w:ascii="Times New Roman" w:hAnsi="Times New Roman"/>
        </w:rPr>
        <w:t>, invece,</w:t>
      </w:r>
      <w:r w:rsidRPr="001962EB">
        <w:rPr>
          <w:rFonts w:ascii="Times New Roman" w:hAnsi="Times New Roman"/>
        </w:rPr>
        <w:t xml:space="preserve"> sostengono l’esame finale in un’unica soluzione (senza la prova di metà corso) </w:t>
      </w:r>
      <w:r w:rsidR="00CC73FD" w:rsidRPr="001962EB">
        <w:rPr>
          <w:rFonts w:ascii="Times New Roman" w:hAnsi="Times New Roman"/>
        </w:rPr>
        <w:t xml:space="preserve">e </w:t>
      </w:r>
      <w:r w:rsidRPr="001962EB">
        <w:rPr>
          <w:rFonts w:ascii="Times New Roman" w:hAnsi="Times New Roman"/>
        </w:rPr>
        <w:t>devono rispondere a</w:t>
      </w:r>
      <w:r w:rsidR="003427C5" w:rsidRPr="001962EB">
        <w:rPr>
          <w:rFonts w:ascii="Times New Roman" w:hAnsi="Times New Roman"/>
        </w:rPr>
        <w:t>d un totale di</w:t>
      </w:r>
      <w:r w:rsidRPr="001962EB">
        <w:rPr>
          <w:rFonts w:ascii="Times New Roman" w:hAnsi="Times New Roman"/>
        </w:rPr>
        <w:t xml:space="preserve"> </w:t>
      </w:r>
      <w:r w:rsidR="003D2D23">
        <w:rPr>
          <w:rFonts w:ascii="Times New Roman" w:hAnsi="Times New Roman"/>
        </w:rPr>
        <w:t>tre</w:t>
      </w:r>
      <w:r w:rsidRPr="001962EB">
        <w:rPr>
          <w:rFonts w:ascii="Times New Roman" w:hAnsi="Times New Roman"/>
        </w:rPr>
        <w:t xml:space="preserve"> domande, </w:t>
      </w:r>
      <w:r w:rsidR="00E42338" w:rsidRPr="001962EB">
        <w:rPr>
          <w:rFonts w:ascii="Times New Roman" w:hAnsi="Times New Roman"/>
        </w:rPr>
        <w:t xml:space="preserve">che possono riguardare </w:t>
      </w:r>
      <w:r w:rsidRPr="001962EB">
        <w:rPr>
          <w:rFonts w:ascii="Times New Roman" w:hAnsi="Times New Roman"/>
        </w:rPr>
        <w:t xml:space="preserve">sia </w:t>
      </w:r>
      <w:r w:rsidR="00E42338" w:rsidRPr="001962EB">
        <w:rPr>
          <w:rFonts w:ascii="Times New Roman" w:hAnsi="Times New Roman"/>
        </w:rPr>
        <w:t>l</w:t>
      </w:r>
      <w:r w:rsidRPr="001962EB">
        <w:rPr>
          <w:rFonts w:ascii="Times New Roman" w:hAnsi="Times New Roman"/>
        </w:rPr>
        <w:t xml:space="preserve">a prima che </w:t>
      </w:r>
      <w:r w:rsidR="00E42338" w:rsidRPr="001962EB">
        <w:rPr>
          <w:rFonts w:ascii="Times New Roman" w:hAnsi="Times New Roman"/>
        </w:rPr>
        <w:t>la</w:t>
      </w:r>
      <w:r w:rsidRPr="001962EB">
        <w:rPr>
          <w:rFonts w:ascii="Times New Roman" w:hAnsi="Times New Roman"/>
        </w:rPr>
        <w:t xml:space="preserve"> seconda parte del programma. In questo caso, la durata complessiva della prova è di </w:t>
      </w:r>
      <w:r w:rsidR="003D2D23">
        <w:rPr>
          <w:rFonts w:ascii="Times New Roman" w:hAnsi="Times New Roman"/>
        </w:rPr>
        <w:t>45</w:t>
      </w:r>
      <w:r w:rsidRPr="001962EB">
        <w:rPr>
          <w:rFonts w:ascii="Times New Roman" w:hAnsi="Times New Roman"/>
        </w:rPr>
        <w:t xml:space="preserve"> minuti e per ogni domanda viene assegnato un tempo di risposta di 15 minuti. Le </w:t>
      </w:r>
      <w:r w:rsidR="003D2D23">
        <w:rPr>
          <w:rFonts w:ascii="Times New Roman" w:hAnsi="Times New Roman"/>
        </w:rPr>
        <w:t>tre</w:t>
      </w:r>
      <w:r w:rsidRPr="001962EB">
        <w:rPr>
          <w:rFonts w:ascii="Times New Roman" w:hAnsi="Times New Roman"/>
        </w:rPr>
        <w:t xml:space="preserve"> domande hanno uguale peso, valutato attraverso un punteggio da 0 (in caso di mancata risposta) a 10 (in caso di risposta eccellente).</w:t>
      </w:r>
      <w:r w:rsidR="00CC73FD" w:rsidRPr="001962EB">
        <w:rPr>
          <w:rFonts w:ascii="Times New Roman" w:hAnsi="Times New Roman"/>
        </w:rPr>
        <w:t xml:space="preserve"> Questa modalità d’esame può essere scelta anche dagli studenti frequentanti che decidono di non sostenere la prova di metà corso, optando per l’esame in un’unica soluzione. </w:t>
      </w:r>
    </w:p>
    <w:p w14:paraId="7E3B6518" w14:textId="77777777" w:rsidR="001962EB" w:rsidRDefault="001962EB" w:rsidP="001962EB">
      <w:pPr>
        <w:tabs>
          <w:tab w:val="clear" w:pos="284"/>
        </w:tabs>
        <w:spacing w:after="120" w:line="240" w:lineRule="auto"/>
        <w:rPr>
          <w:rFonts w:ascii="Times New Roman" w:hAnsi="Times New Roman"/>
          <w:b/>
          <w:i/>
        </w:rPr>
      </w:pPr>
    </w:p>
    <w:p w14:paraId="47A23D7C" w14:textId="77777777" w:rsidR="004A05A2" w:rsidRPr="001962EB" w:rsidRDefault="004A05A2" w:rsidP="001962EB">
      <w:pPr>
        <w:tabs>
          <w:tab w:val="clear" w:pos="284"/>
        </w:tabs>
        <w:spacing w:after="120" w:line="240" w:lineRule="auto"/>
        <w:rPr>
          <w:rFonts w:ascii="Times New Roman" w:hAnsi="Times New Roman"/>
          <w:b/>
          <w:i/>
        </w:rPr>
      </w:pPr>
      <w:r w:rsidRPr="001962EB">
        <w:rPr>
          <w:rFonts w:ascii="Times New Roman" w:hAnsi="Times New Roman"/>
          <w:b/>
          <w:i/>
        </w:rPr>
        <w:t>AVVERTENZE E PREREQUISITI</w:t>
      </w:r>
    </w:p>
    <w:p w14:paraId="4E677571" w14:textId="3A177059" w:rsidR="00E211EA" w:rsidRDefault="001D2A3E" w:rsidP="001962EB">
      <w:pPr>
        <w:tabs>
          <w:tab w:val="clear" w:pos="284"/>
        </w:tabs>
        <w:spacing w:after="120" w:line="240" w:lineRule="auto"/>
        <w:rPr>
          <w:rFonts w:ascii="Times New Roman" w:hAnsi="Times New Roman"/>
        </w:rPr>
      </w:pPr>
      <w:r>
        <w:rPr>
          <w:rFonts w:ascii="Times New Roman" w:hAnsi="Times New Roman"/>
        </w:rPr>
        <w:t>L</w:t>
      </w:r>
      <w:r w:rsidR="004A05A2" w:rsidRPr="001962EB">
        <w:rPr>
          <w:rFonts w:ascii="Times New Roman" w:hAnsi="Times New Roman"/>
        </w:rPr>
        <w:t xml:space="preserve">’insegnamento non necessità di prerequisiti particolari relativi </w:t>
      </w:r>
      <w:r w:rsidR="008F1321" w:rsidRPr="001962EB">
        <w:rPr>
          <w:rFonts w:ascii="Times New Roman" w:hAnsi="Times New Roman"/>
        </w:rPr>
        <w:t>alle tematiche di marketing</w:t>
      </w:r>
      <w:r w:rsidR="004A05A2" w:rsidRPr="001962EB">
        <w:rPr>
          <w:rFonts w:ascii="Times New Roman" w:hAnsi="Times New Roman"/>
        </w:rPr>
        <w:t xml:space="preserve">. Si presuppone comunque interesse e curiosità intellettuale nei confronti </w:t>
      </w:r>
      <w:r w:rsidR="008F1321" w:rsidRPr="001962EB">
        <w:rPr>
          <w:rFonts w:ascii="Times New Roman" w:hAnsi="Times New Roman"/>
        </w:rPr>
        <w:t>della materia</w:t>
      </w:r>
      <w:r w:rsidR="004A05A2" w:rsidRPr="001962EB">
        <w:rPr>
          <w:rFonts w:ascii="Times New Roman" w:hAnsi="Times New Roman"/>
        </w:rPr>
        <w:t>.</w:t>
      </w:r>
    </w:p>
    <w:p w14:paraId="402BC35F" w14:textId="77777777" w:rsidR="003D2D23" w:rsidRPr="003D2D23" w:rsidRDefault="003D2D23" w:rsidP="001962EB">
      <w:pPr>
        <w:tabs>
          <w:tab w:val="clear" w:pos="284"/>
        </w:tabs>
        <w:spacing w:after="120" w:line="240" w:lineRule="auto"/>
        <w:rPr>
          <w:rFonts w:ascii="Times New Roman" w:hAnsi="Times New Roman"/>
        </w:rPr>
      </w:pPr>
    </w:p>
    <w:p w14:paraId="72114551" w14:textId="77777777" w:rsidR="004A05A2" w:rsidRPr="001962EB" w:rsidRDefault="004A05A2" w:rsidP="001962EB">
      <w:pPr>
        <w:tabs>
          <w:tab w:val="clear" w:pos="284"/>
        </w:tabs>
        <w:spacing w:after="120" w:line="240" w:lineRule="auto"/>
        <w:rPr>
          <w:rFonts w:ascii="Times New Roman" w:hAnsi="Times New Roman"/>
          <w:b/>
          <w:i/>
        </w:rPr>
      </w:pPr>
      <w:r w:rsidRPr="001962EB">
        <w:rPr>
          <w:rFonts w:ascii="Times New Roman" w:hAnsi="Times New Roman"/>
          <w:b/>
          <w:i/>
        </w:rPr>
        <w:t>ORARIO E LUOGO DI RICEVIMENTO DEGLI STUDENTI</w:t>
      </w:r>
    </w:p>
    <w:p w14:paraId="1B9D2964" w14:textId="3EC394A8" w:rsidR="004A05A2" w:rsidRPr="001962EB" w:rsidRDefault="00E7782D" w:rsidP="001962EB">
      <w:pPr>
        <w:tabs>
          <w:tab w:val="clear" w:pos="284"/>
        </w:tabs>
        <w:spacing w:after="120" w:line="240" w:lineRule="auto"/>
        <w:rPr>
          <w:rFonts w:ascii="Times New Roman" w:hAnsi="Times New Roman"/>
        </w:rPr>
      </w:pPr>
      <w:r w:rsidRPr="001962EB">
        <w:rPr>
          <w:rFonts w:ascii="Times New Roman" w:hAnsi="Times New Roman"/>
        </w:rPr>
        <w:t>Gli</w:t>
      </w:r>
      <w:r w:rsidR="004A05A2" w:rsidRPr="001962EB">
        <w:rPr>
          <w:rFonts w:ascii="Times New Roman" w:hAnsi="Times New Roman"/>
        </w:rPr>
        <w:t xml:space="preserve"> studenti </w:t>
      </w:r>
      <w:r w:rsidRPr="001962EB">
        <w:rPr>
          <w:rFonts w:ascii="Times New Roman" w:hAnsi="Times New Roman"/>
        </w:rPr>
        <w:t xml:space="preserve">possono scrivere in qualsiasi momento una e-mail all’indirizzo </w:t>
      </w:r>
      <w:r w:rsidRPr="001962EB">
        <w:rPr>
          <w:rFonts w:ascii="Times New Roman" w:hAnsi="Times New Roman"/>
          <w:color w:val="1F497D" w:themeColor="text2"/>
          <w:u w:val="single"/>
        </w:rPr>
        <w:t>edoardo.fornari@unicatt.it</w:t>
      </w:r>
      <w:r w:rsidR="004A05A2" w:rsidRPr="001962EB">
        <w:rPr>
          <w:rFonts w:ascii="Times New Roman" w:hAnsi="Times New Roman"/>
          <w:color w:val="1F497D" w:themeColor="text2"/>
        </w:rPr>
        <w:t xml:space="preserve"> </w:t>
      </w:r>
      <w:r w:rsidRPr="001962EB">
        <w:rPr>
          <w:rFonts w:ascii="Times New Roman" w:hAnsi="Times New Roman"/>
        </w:rPr>
        <w:t>per fissare un ricevimento individuale nello studio del Docente</w:t>
      </w:r>
      <w:r w:rsidR="003D2D23">
        <w:rPr>
          <w:rFonts w:ascii="Times New Roman" w:hAnsi="Times New Roman"/>
        </w:rPr>
        <w:t>,</w:t>
      </w:r>
      <w:r w:rsidRPr="001962EB">
        <w:rPr>
          <w:rFonts w:ascii="Times New Roman" w:hAnsi="Times New Roman"/>
        </w:rPr>
        <w:t xml:space="preserve"> presso il</w:t>
      </w:r>
      <w:r w:rsidR="004A05A2" w:rsidRPr="001962EB">
        <w:rPr>
          <w:rFonts w:ascii="Times New Roman" w:hAnsi="Times New Roman"/>
        </w:rPr>
        <w:t xml:space="preserve"> Dipartimento di Economia Agro-alimentare</w:t>
      </w:r>
      <w:r w:rsidR="003D2D23">
        <w:rPr>
          <w:rFonts w:ascii="Times New Roman" w:hAnsi="Times New Roman"/>
        </w:rPr>
        <w:t>, oppure online.</w:t>
      </w:r>
    </w:p>
    <w:p w14:paraId="5FFD908E" w14:textId="77777777" w:rsidR="001962EB" w:rsidRPr="001962EB" w:rsidRDefault="001962EB" w:rsidP="001962EB">
      <w:pPr>
        <w:tabs>
          <w:tab w:val="clear" w:pos="284"/>
        </w:tabs>
        <w:spacing w:after="120" w:line="240" w:lineRule="auto"/>
        <w:rPr>
          <w:rFonts w:ascii="Times New Roman" w:hAnsi="Times New Roman"/>
        </w:rPr>
      </w:pPr>
    </w:p>
    <w:sectPr w:rsidR="001962EB" w:rsidRPr="001962EB" w:rsidSect="00E211EA">
      <w:pgSz w:w="11906" w:h="16838" w:code="9"/>
      <w:pgMar w:top="1849" w:right="2608" w:bottom="3207" w:left="2608"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60B1"/>
    <w:multiLevelType w:val="hybridMultilevel"/>
    <w:tmpl w:val="52EA43B8"/>
    <w:lvl w:ilvl="0" w:tplc="27147F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673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46"/>
    <w:rsid w:val="00047680"/>
    <w:rsid w:val="000822C0"/>
    <w:rsid w:val="00086375"/>
    <w:rsid w:val="001208A5"/>
    <w:rsid w:val="001457B3"/>
    <w:rsid w:val="00192DF9"/>
    <w:rsid w:val="001962EB"/>
    <w:rsid w:val="001C73C1"/>
    <w:rsid w:val="001D2A3E"/>
    <w:rsid w:val="001E794C"/>
    <w:rsid w:val="0020025E"/>
    <w:rsid w:val="002720B2"/>
    <w:rsid w:val="00290D3D"/>
    <w:rsid w:val="00297D06"/>
    <w:rsid w:val="002B18C4"/>
    <w:rsid w:val="002D1B97"/>
    <w:rsid w:val="00334BCA"/>
    <w:rsid w:val="003427C5"/>
    <w:rsid w:val="003D2D23"/>
    <w:rsid w:val="003E09BF"/>
    <w:rsid w:val="00404B15"/>
    <w:rsid w:val="00476A20"/>
    <w:rsid w:val="00494A34"/>
    <w:rsid w:val="004A05A2"/>
    <w:rsid w:val="004C0FAD"/>
    <w:rsid w:val="004D7A0E"/>
    <w:rsid w:val="005A5CD3"/>
    <w:rsid w:val="005E49C1"/>
    <w:rsid w:val="005F5AEE"/>
    <w:rsid w:val="00603546"/>
    <w:rsid w:val="006154D7"/>
    <w:rsid w:val="00626607"/>
    <w:rsid w:val="006713E0"/>
    <w:rsid w:val="00684065"/>
    <w:rsid w:val="0068713E"/>
    <w:rsid w:val="006D34CC"/>
    <w:rsid w:val="006F6135"/>
    <w:rsid w:val="0078574A"/>
    <w:rsid w:val="007A46E9"/>
    <w:rsid w:val="007D28B4"/>
    <w:rsid w:val="007D62C2"/>
    <w:rsid w:val="00813E1B"/>
    <w:rsid w:val="008547A0"/>
    <w:rsid w:val="008F1321"/>
    <w:rsid w:val="009208B6"/>
    <w:rsid w:val="009326BA"/>
    <w:rsid w:val="0094192E"/>
    <w:rsid w:val="0094296E"/>
    <w:rsid w:val="0096254D"/>
    <w:rsid w:val="00A45752"/>
    <w:rsid w:val="00A46ABC"/>
    <w:rsid w:val="00AA0CB4"/>
    <w:rsid w:val="00AC6715"/>
    <w:rsid w:val="00B24E0A"/>
    <w:rsid w:val="00B77EB6"/>
    <w:rsid w:val="00B77F0B"/>
    <w:rsid w:val="00C97532"/>
    <w:rsid w:val="00CC73FD"/>
    <w:rsid w:val="00CD57AA"/>
    <w:rsid w:val="00D60FC9"/>
    <w:rsid w:val="00D943E9"/>
    <w:rsid w:val="00E211EA"/>
    <w:rsid w:val="00E26946"/>
    <w:rsid w:val="00E37A04"/>
    <w:rsid w:val="00E42338"/>
    <w:rsid w:val="00E42A4D"/>
    <w:rsid w:val="00E54EEB"/>
    <w:rsid w:val="00E7782D"/>
    <w:rsid w:val="00ED1839"/>
    <w:rsid w:val="00F25DB8"/>
    <w:rsid w:val="00F47A23"/>
    <w:rsid w:val="00F666D9"/>
    <w:rsid w:val="00F80B8B"/>
    <w:rsid w:val="00F97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3C477"/>
  <w15:docId w15:val="{DC74AB1A-DED1-47CE-BBC5-0AC9F09E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link w:val="Titolo1"/>
    <w:rsid w:val="009326BA"/>
    <w:rPr>
      <w:rFonts w:ascii="Times" w:hAnsi="Times"/>
      <w:b/>
      <w:noProof/>
    </w:rPr>
  </w:style>
  <w:style w:type="paragraph" w:styleId="Paragrafoelenco">
    <w:name w:val="List Paragraph"/>
    <w:basedOn w:val="Normale"/>
    <w:uiPriority w:val="34"/>
    <w:qFormat/>
    <w:rsid w:val="00297D06"/>
    <w:pPr>
      <w:tabs>
        <w:tab w:val="clear" w:pos="284"/>
      </w:tabs>
      <w:spacing w:line="240" w:lineRule="auto"/>
      <w:ind w:left="720"/>
      <w:contextualSpacing/>
      <w:jc w:val="left"/>
    </w:pPr>
    <w:rPr>
      <w:rFonts w:ascii="Times New Roman" w:hAnsi="Times New Roman"/>
      <w:sz w:val="24"/>
      <w:szCs w:val="24"/>
    </w:rPr>
  </w:style>
  <w:style w:type="character" w:customStyle="1" w:styleId="Titolo2Carattere">
    <w:name w:val="Titolo 2 Carattere"/>
    <w:basedOn w:val="Carpredefinitoparagrafo"/>
    <w:link w:val="Titolo2"/>
    <w:rsid w:val="00E26946"/>
    <w:rPr>
      <w:rFonts w:ascii="Times" w:hAnsi="Times"/>
      <w:smallCaps/>
      <w:noProof/>
      <w:sz w:val="18"/>
    </w:rPr>
  </w:style>
  <w:style w:type="paragraph" w:styleId="Corpotesto">
    <w:name w:val="Body Text"/>
    <w:basedOn w:val="Normale"/>
    <w:link w:val="CorpotestoCarattere"/>
    <w:semiHidden/>
    <w:unhideWhenUsed/>
    <w:rsid w:val="00F971E6"/>
    <w:rPr>
      <w:sz w:val="18"/>
      <w:szCs w:val="18"/>
    </w:rPr>
  </w:style>
  <w:style w:type="character" w:customStyle="1" w:styleId="CorpotestoCarattere">
    <w:name w:val="Corpo testo Carattere"/>
    <w:basedOn w:val="Carpredefinitoparagrafo"/>
    <w:link w:val="Corpotesto"/>
    <w:semiHidden/>
    <w:rsid w:val="00F971E6"/>
    <w:rPr>
      <w:rFonts w:ascii="Times" w:hAnsi="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5</TotalTime>
  <Pages>3</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Fornari Edoardo (edoardo.fornari)</cp:lastModifiedBy>
  <cp:revision>2</cp:revision>
  <cp:lastPrinted>2020-06-19T14:19:00Z</cp:lastPrinted>
  <dcterms:created xsi:type="dcterms:W3CDTF">2022-05-16T09:57:00Z</dcterms:created>
  <dcterms:modified xsi:type="dcterms:W3CDTF">2022-05-16T09:57:00Z</dcterms:modified>
</cp:coreProperties>
</file>