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D4BBBA" w14:textId="77777777" w:rsidR="00FD44D1" w:rsidRPr="005F335B" w:rsidRDefault="00E51E67" w:rsidP="00667CB8">
      <w:pPr>
        <w:pStyle w:val="Titolo1"/>
      </w:pPr>
      <w:r w:rsidRPr="005F335B">
        <w:t xml:space="preserve">.- </w:t>
      </w:r>
      <w:r w:rsidR="00667CB8">
        <w:t>Genomica Vegetale per l’agricoltura sostenibile</w:t>
      </w:r>
    </w:p>
    <w:p w14:paraId="2C32C868" w14:textId="77777777" w:rsidR="00E51E67" w:rsidRDefault="00E51E67" w:rsidP="00E51E67">
      <w:pPr>
        <w:pStyle w:val="Titolo2"/>
      </w:pPr>
      <w:r w:rsidRPr="005F335B">
        <w:t xml:space="preserve">Prof. </w:t>
      </w:r>
      <w:r w:rsidR="00432BA3" w:rsidRPr="005F335B">
        <w:t>Matteo Busconi</w:t>
      </w:r>
    </w:p>
    <w:p w14:paraId="333EFEBF" w14:textId="77777777" w:rsidR="00511444" w:rsidRPr="00511444" w:rsidRDefault="00511444" w:rsidP="00511444">
      <w:pPr>
        <w:pStyle w:val="Titolo3"/>
      </w:pPr>
    </w:p>
    <w:p w14:paraId="12BFAB5F" w14:textId="77777777" w:rsidR="00511444" w:rsidRDefault="00511444" w:rsidP="00E51E67">
      <w:r w:rsidRPr="00511444">
        <w:rPr>
          <w:b/>
          <w:i/>
          <w:sz w:val="18"/>
        </w:rPr>
        <w:t>OBIETTIVO DEL CORSO E RISULTATI DI APPRENDIMENTO ATTESI</w:t>
      </w:r>
      <w:r w:rsidR="00E51E67" w:rsidRPr="005F335B">
        <w:tab/>
      </w:r>
    </w:p>
    <w:p w14:paraId="5E1E2803" w14:textId="77777777" w:rsidR="00511444" w:rsidRDefault="00511444" w:rsidP="00E51E67"/>
    <w:p w14:paraId="45F1E663" w14:textId="77777777" w:rsidR="00511444" w:rsidRPr="00511444" w:rsidRDefault="00511444" w:rsidP="00E51E67">
      <w:pPr>
        <w:rPr>
          <w:b/>
        </w:rPr>
      </w:pPr>
      <w:r w:rsidRPr="00511444">
        <w:rPr>
          <w:b/>
        </w:rPr>
        <w:t>OBIETTIVO DEL CORSO</w:t>
      </w:r>
    </w:p>
    <w:p w14:paraId="6C2041FF" w14:textId="77777777" w:rsidR="002A5E2B" w:rsidRDefault="00511444" w:rsidP="002A5E2B">
      <w:r>
        <w:t>Il corso consiste di 6 CFU (42 ore) di lezione frontale e 2 CFU (24 ore) di esercitazioni. Il corso è suddiviso in 5 grandi macro</w:t>
      </w:r>
      <w:r w:rsidR="000B48B9">
        <w:t xml:space="preserve"> </w:t>
      </w:r>
      <w:r>
        <w:t xml:space="preserve">aree pensate per fornire agli studenti informazioni e conoscenze relative al miglioramento genetico dei vegetali, nello specifico: 1) Origine delle specie coltivate e Biodiversità; quest’area sarà focalizzata sul processo di addomesticamento delle specie coltivate, sulla biodiversità generata col processo di addomesticamento e su come preservarla ai fini del miglioramento genetico; 2) Miglioramento genetico delle specie prevalentemente autogame e delle specie prevalentemente allogame; verranno presentate le principali metodologie di breeding classico sviluppate dopo la riscoperta della genetica a partire dagli inizi del 900; 3) Colture in vitro e propagazione mediante rigenerazione delle piante su substrati artificiali; verranno presentate le differenti applicazioni delle colture in vitro a sostegno del miglioramento genetico vegetale; 4) </w:t>
      </w:r>
      <w:r w:rsidR="00692EA1">
        <w:t>Metodologie di analisi del DNA, classiche e di nuova generazione (NGS). Sviluppo di marcatori molecolari. Identificazione di geni utili al processo di miglioramento varietale. Selezione genomica e miglioramento genetico per la resistenza a stress di natura biotica e abiotica</w:t>
      </w:r>
      <w:r w:rsidR="002A5E2B">
        <w:t xml:space="preserve">; </w:t>
      </w:r>
      <w:r>
        <w:t>5) Elementi di ingegneria genetica, piante geneticamente modificate (PGM) e Genome Editing</w:t>
      </w:r>
      <w:r w:rsidR="002A5E2B">
        <w:t xml:space="preserve">; verranno introdotti gli OGM, le metodologie per il loro sviluppo, gli aspetti legali e le risposte ai principali timori legati a queste varietà. Verranno introdotti gli approcci di modificazione genetica più recenti con particolare riferimento al Genome Editing </w:t>
      </w:r>
      <w:r w:rsidR="00A92C19">
        <w:t xml:space="preserve">(CRISPR-Cas) </w:t>
      </w:r>
      <w:r w:rsidR="002A5E2B">
        <w:t>e alla Cisgenesi.</w:t>
      </w:r>
    </w:p>
    <w:p w14:paraId="2C90D244" w14:textId="77777777" w:rsidR="002A5E2B" w:rsidRDefault="002A5E2B" w:rsidP="002A5E2B">
      <w:r>
        <w:t>Riguardo alle esercitazioni, 8 ore saranno dedicate a visite didattiche presso realtà impegnate nel miglioramento genetico vegetale mediate applicazione di analisi del DNA e 16 ore ad esperienze pratiche di laboratorio durante le quali verrà eseguita un’estrazione del DNA, la valutazione del DNA estratto e l’analisi mediante PCR e marcatori molecolari per la valutazione della biodiversità vegetale.</w:t>
      </w:r>
    </w:p>
    <w:p w14:paraId="4ADF53A5" w14:textId="77777777" w:rsidR="00511444" w:rsidRDefault="00511444" w:rsidP="00E51E67"/>
    <w:p w14:paraId="7498ABB8" w14:textId="77777777" w:rsidR="002A5E2B" w:rsidRDefault="002A5E2B" w:rsidP="00E51E67"/>
    <w:p w14:paraId="20009653" w14:textId="77777777" w:rsidR="002A5E2B" w:rsidRDefault="002A5E2B" w:rsidP="00E51E67">
      <w:r w:rsidRPr="00511444">
        <w:rPr>
          <w:b/>
          <w:i/>
          <w:sz w:val="18"/>
        </w:rPr>
        <w:t>RISULTATI DI APPRENDIMENTO ATTESI</w:t>
      </w:r>
    </w:p>
    <w:p w14:paraId="5193B7F5" w14:textId="77777777" w:rsidR="00511444" w:rsidRDefault="002A5E2B" w:rsidP="00E51E67">
      <w:r>
        <w:t>Alla fine del corso si ritiene che gli studenti saranno in grado di:</w:t>
      </w:r>
    </w:p>
    <w:p w14:paraId="2B05089F" w14:textId="77777777" w:rsidR="002A5E2B" w:rsidRDefault="002A5E2B" w:rsidP="00E51E67">
      <w:r>
        <w:lastRenderedPageBreak/>
        <w:t>1) Avere un quadro generale del miglioramento genetico dei vegetali e della sua importanza per lo sviluppo di nuove varietà coltivate migliori per aumentare la sostenibilità dell’agricoltura;</w:t>
      </w:r>
    </w:p>
    <w:p w14:paraId="7B2894B3" w14:textId="77777777" w:rsidR="002A5E2B" w:rsidRDefault="002A5E2B" w:rsidP="00E51E67">
      <w:r>
        <w:t>2) Conoscere come il miglioramento genetico è in realtà una pratica antica iniziata con l’addomesticamento delle specie coltivate;</w:t>
      </w:r>
    </w:p>
    <w:p w14:paraId="5EDD882B" w14:textId="77777777" w:rsidR="002A5E2B" w:rsidRDefault="002A5E2B" w:rsidP="00E51E67">
      <w:r>
        <w:t>3) Spiegare perché è importate la biodiversità è perché sia fondamentale preservarla;</w:t>
      </w:r>
    </w:p>
    <w:p w14:paraId="73BDBE3F" w14:textId="77777777" w:rsidR="002A5E2B" w:rsidRDefault="002A5E2B" w:rsidP="00E51E67">
      <w:r>
        <w:t>4) Spiegare perché l’analisi del DNA non è solo una disciplina teorica ma che è possiede un’elevata valenza pratica in quanto basilare per un miglioramento genetico più efficiente;</w:t>
      </w:r>
    </w:p>
    <w:p w14:paraId="513874EA" w14:textId="77777777" w:rsidR="000B48B9" w:rsidRDefault="002A5E2B" w:rsidP="00E51E67">
      <w:r>
        <w:t>5) Spiegare cosa sono gli OGM</w:t>
      </w:r>
      <w:r w:rsidR="000B48B9">
        <w:t xml:space="preserve"> e rispondere in un dibattito alle principali paure e timori riguardo queste varietà e conoscere gli approcci più moderni per modificare il genoma delle piante senza originare un OGM;</w:t>
      </w:r>
    </w:p>
    <w:p w14:paraId="7DEA22ED" w14:textId="77777777" w:rsidR="002A5E2B" w:rsidRDefault="000B48B9" w:rsidP="00E51E67">
      <w:r>
        <w:t>6) Selezionare i metodi classici di miglioramento genetico più indicati a seconda delle modalità di impollinazione delle specie che si vuole migliorare.</w:t>
      </w:r>
    </w:p>
    <w:p w14:paraId="1A4AC9D9" w14:textId="77777777" w:rsidR="002A5E2B" w:rsidRDefault="002A5E2B" w:rsidP="00E51E67"/>
    <w:p w14:paraId="422E451A" w14:textId="77777777" w:rsidR="00E51E67" w:rsidRPr="005F335B" w:rsidRDefault="00E51E67" w:rsidP="00E51E67">
      <w:r w:rsidRPr="005F335B">
        <w:t xml:space="preserve"> </w:t>
      </w:r>
    </w:p>
    <w:p w14:paraId="041DC3ED" w14:textId="77777777" w:rsidR="00987721" w:rsidRPr="005F335B" w:rsidRDefault="00E51E67" w:rsidP="00987721">
      <w:pPr>
        <w:spacing w:before="240" w:after="120"/>
        <w:rPr>
          <w:b/>
          <w:i/>
          <w:sz w:val="18"/>
        </w:rPr>
      </w:pPr>
      <w:r w:rsidRPr="005F335B">
        <w:rPr>
          <w:b/>
          <w:i/>
          <w:sz w:val="18"/>
        </w:rPr>
        <w:t>PROGRAMMA DEL CORSO</w:t>
      </w:r>
    </w:p>
    <w:p w14:paraId="04F20789" w14:textId="77777777" w:rsidR="00987721" w:rsidRPr="005F335B" w:rsidRDefault="00987721" w:rsidP="00987721">
      <w:pPr>
        <w:tabs>
          <w:tab w:val="clear" w:pos="284"/>
        </w:tabs>
        <w:spacing w:line="240" w:lineRule="auto"/>
        <w:jc w:val="left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587"/>
        <w:gridCol w:w="1103"/>
      </w:tblGrid>
      <w:tr w:rsidR="00987721" w:rsidRPr="005F335B" w14:paraId="3B6DE969" w14:textId="77777777" w:rsidTr="004239BC">
        <w:tc>
          <w:tcPr>
            <w:tcW w:w="5777" w:type="dxa"/>
            <w:shd w:val="clear" w:color="auto" w:fill="auto"/>
          </w:tcPr>
          <w:p w14:paraId="5417BB3B" w14:textId="77777777" w:rsidR="00987721" w:rsidRPr="005F335B" w:rsidRDefault="00987721" w:rsidP="00987721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14:paraId="2D76A392" w14:textId="77777777" w:rsidR="00987721" w:rsidRPr="005F335B" w:rsidRDefault="00987721" w:rsidP="00987721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</w:rPr>
            </w:pPr>
            <w:r w:rsidRPr="005F335B">
              <w:rPr>
                <w:rFonts w:ascii="Times New Roman" w:hAnsi="Times New Roman"/>
              </w:rPr>
              <w:t>CFU</w:t>
            </w:r>
          </w:p>
        </w:tc>
      </w:tr>
      <w:tr w:rsidR="00987721" w:rsidRPr="005F335B" w14:paraId="580E5615" w14:textId="77777777" w:rsidTr="004239BC">
        <w:tc>
          <w:tcPr>
            <w:tcW w:w="5777" w:type="dxa"/>
            <w:shd w:val="clear" w:color="auto" w:fill="auto"/>
          </w:tcPr>
          <w:p w14:paraId="02A04507" w14:textId="77777777" w:rsidR="00987721" w:rsidRPr="00692EA1" w:rsidRDefault="0032368C" w:rsidP="0032368C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  <w:b/>
              </w:rPr>
            </w:pPr>
            <w:r w:rsidRPr="00692EA1">
              <w:rPr>
                <w:rFonts w:ascii="Times New Roman" w:hAnsi="Times New Roman"/>
                <w:b/>
              </w:rPr>
              <w:t xml:space="preserve">Origine, domesticazione ed </w:t>
            </w:r>
            <w:r w:rsidR="00987721" w:rsidRPr="00692EA1">
              <w:rPr>
                <w:rFonts w:ascii="Times New Roman" w:hAnsi="Times New Roman"/>
                <w:b/>
              </w:rPr>
              <w:t>evoluzione delle specie coltivate</w:t>
            </w:r>
            <w:r w:rsidR="00EC659D" w:rsidRPr="00692EA1">
              <w:rPr>
                <w:rFonts w:ascii="Times New Roman" w:hAnsi="Times New Roman"/>
                <w:b/>
              </w:rPr>
              <w:t>. B</w:t>
            </w:r>
            <w:r w:rsidR="00987721" w:rsidRPr="00692EA1">
              <w:rPr>
                <w:rFonts w:ascii="Times New Roman" w:hAnsi="Times New Roman"/>
                <w:b/>
              </w:rPr>
              <w:t>iodiversità genetica vegetale</w:t>
            </w:r>
          </w:p>
        </w:tc>
        <w:tc>
          <w:tcPr>
            <w:tcW w:w="1129" w:type="dxa"/>
            <w:shd w:val="clear" w:color="auto" w:fill="auto"/>
          </w:tcPr>
          <w:p w14:paraId="5984D5E3" w14:textId="77777777" w:rsidR="00987721" w:rsidRPr="00692EA1" w:rsidRDefault="00692EA1" w:rsidP="00987721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  <w:b/>
              </w:rPr>
            </w:pPr>
            <w:r w:rsidRPr="00692EA1">
              <w:rPr>
                <w:rFonts w:ascii="Times New Roman" w:hAnsi="Times New Roman"/>
                <w:b/>
              </w:rPr>
              <w:t>1,0</w:t>
            </w:r>
          </w:p>
        </w:tc>
      </w:tr>
      <w:tr w:rsidR="00987721" w:rsidRPr="005F335B" w14:paraId="2E43A233" w14:textId="77777777" w:rsidTr="004239BC">
        <w:tc>
          <w:tcPr>
            <w:tcW w:w="5777" w:type="dxa"/>
            <w:shd w:val="clear" w:color="auto" w:fill="auto"/>
          </w:tcPr>
          <w:p w14:paraId="390954B2" w14:textId="77777777" w:rsidR="00987721" w:rsidRPr="005F335B" w:rsidRDefault="00987721" w:rsidP="00987721">
            <w:pPr>
              <w:tabs>
                <w:tab w:val="clear" w:pos="284"/>
              </w:tabs>
              <w:spacing w:line="240" w:lineRule="auto"/>
              <w:ind w:left="180"/>
            </w:pPr>
            <w:r w:rsidRPr="005F335B">
              <w:t>Origine, domesticazione ed evoluzione delle specie coltivate. Erosione genetica. Conservazione della biodiversità vegetale. Valorizzazione delle varietà locali.</w:t>
            </w:r>
            <w:r w:rsidR="004239BC">
              <w:t xml:space="preserve"> </w:t>
            </w:r>
            <w:r w:rsidR="004239BC" w:rsidRPr="005F335B">
              <w:t>Struttura genetica delle popolazioni di: specie apomittiche e a propagazione vegetativa; specie autogame; specie allogame.</w:t>
            </w:r>
          </w:p>
        </w:tc>
        <w:tc>
          <w:tcPr>
            <w:tcW w:w="1129" w:type="dxa"/>
            <w:shd w:val="clear" w:color="auto" w:fill="auto"/>
          </w:tcPr>
          <w:p w14:paraId="36030E2D" w14:textId="77777777" w:rsidR="00987721" w:rsidRPr="00405105" w:rsidRDefault="00987721" w:rsidP="00F3784A">
            <w:pPr>
              <w:tabs>
                <w:tab w:val="clear" w:pos="284"/>
              </w:tabs>
              <w:spacing w:line="240" w:lineRule="auto"/>
            </w:pPr>
          </w:p>
        </w:tc>
      </w:tr>
      <w:tr w:rsidR="00987721" w:rsidRPr="005F335B" w14:paraId="5F73022B" w14:textId="77777777" w:rsidTr="004239BC">
        <w:tc>
          <w:tcPr>
            <w:tcW w:w="5777" w:type="dxa"/>
            <w:shd w:val="clear" w:color="auto" w:fill="auto"/>
          </w:tcPr>
          <w:p w14:paraId="73B24DCC" w14:textId="77777777" w:rsidR="00987721" w:rsidRPr="005F335B" w:rsidRDefault="00987721" w:rsidP="00987721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  <w:b/>
              </w:rPr>
            </w:pPr>
            <w:r w:rsidRPr="005F335B">
              <w:rPr>
                <w:rFonts w:ascii="Times New Roman" w:hAnsi="Times New Roman"/>
                <w:b/>
              </w:rPr>
              <w:t>Miglioramento genetico delle specie autogame e allogame</w:t>
            </w:r>
          </w:p>
        </w:tc>
        <w:tc>
          <w:tcPr>
            <w:tcW w:w="1129" w:type="dxa"/>
            <w:shd w:val="clear" w:color="auto" w:fill="auto"/>
          </w:tcPr>
          <w:p w14:paraId="1A5F920F" w14:textId="77777777" w:rsidR="00987721" w:rsidRPr="00405105" w:rsidRDefault="00692EA1" w:rsidP="00692EA1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1,5</w:t>
            </w:r>
          </w:p>
        </w:tc>
      </w:tr>
      <w:tr w:rsidR="00987721" w:rsidRPr="005F335B" w14:paraId="033A426D" w14:textId="77777777" w:rsidTr="004239BC">
        <w:tc>
          <w:tcPr>
            <w:tcW w:w="5777" w:type="dxa"/>
            <w:shd w:val="clear" w:color="auto" w:fill="auto"/>
          </w:tcPr>
          <w:p w14:paraId="5A2718B7" w14:textId="77777777" w:rsidR="00987721" w:rsidRPr="00405105" w:rsidRDefault="00987721" w:rsidP="00987721">
            <w:pPr>
              <w:tabs>
                <w:tab w:val="clear" w:pos="284"/>
              </w:tabs>
              <w:spacing w:line="240" w:lineRule="auto"/>
              <w:ind w:left="180"/>
            </w:pPr>
            <w:r w:rsidRPr="00405105">
              <w:t xml:space="preserve">Miglioramento genetico nelle specie principalmente autogame (resistenza a stress biotici) e allogame.  Varietà multilinee. Costituzione varietale nelle allogame. Varietà sintetiche e ibride. </w:t>
            </w:r>
            <w:r w:rsidR="004239BC" w:rsidRPr="00405105">
              <w:t xml:space="preserve">. Incompatibilità. Maschiosterilità </w:t>
            </w:r>
            <w:r w:rsidRPr="00405105">
              <w:t>Uso della maschiosterilità.</w:t>
            </w:r>
            <w:r w:rsidR="006B06F1" w:rsidRPr="00405105">
              <w:t xml:space="preserve"> Analisi QTL. Selezione assistita da marcatori (MAS).</w:t>
            </w:r>
          </w:p>
        </w:tc>
        <w:tc>
          <w:tcPr>
            <w:tcW w:w="1129" w:type="dxa"/>
            <w:shd w:val="clear" w:color="auto" w:fill="auto"/>
          </w:tcPr>
          <w:p w14:paraId="28EC104E" w14:textId="77777777" w:rsidR="00987721" w:rsidRPr="00405105" w:rsidRDefault="00987721" w:rsidP="00987721">
            <w:pPr>
              <w:tabs>
                <w:tab w:val="clear" w:pos="284"/>
              </w:tabs>
              <w:spacing w:line="240" w:lineRule="auto"/>
            </w:pPr>
          </w:p>
        </w:tc>
      </w:tr>
      <w:tr w:rsidR="00987721" w:rsidRPr="005F335B" w14:paraId="565BED47" w14:textId="77777777" w:rsidTr="004239BC">
        <w:tc>
          <w:tcPr>
            <w:tcW w:w="5777" w:type="dxa"/>
            <w:shd w:val="clear" w:color="auto" w:fill="auto"/>
          </w:tcPr>
          <w:p w14:paraId="6D130B03" w14:textId="77777777" w:rsidR="00987721" w:rsidRPr="00692EA1" w:rsidRDefault="00987721" w:rsidP="00073E61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  <w:b/>
              </w:rPr>
            </w:pPr>
            <w:r w:rsidRPr="00692EA1">
              <w:rPr>
                <w:rFonts w:ascii="Times New Roman" w:hAnsi="Times New Roman"/>
                <w:b/>
              </w:rPr>
              <w:t>Colture in vitro</w:t>
            </w:r>
          </w:p>
        </w:tc>
        <w:tc>
          <w:tcPr>
            <w:tcW w:w="1129" w:type="dxa"/>
            <w:shd w:val="clear" w:color="auto" w:fill="auto"/>
          </w:tcPr>
          <w:p w14:paraId="0E9A73DF" w14:textId="77777777" w:rsidR="00987721" w:rsidRPr="00692EA1" w:rsidRDefault="00692EA1" w:rsidP="00987721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  <w:b/>
              </w:rPr>
            </w:pPr>
            <w:r w:rsidRPr="00692EA1">
              <w:rPr>
                <w:rFonts w:ascii="Times New Roman" w:hAnsi="Times New Roman"/>
                <w:b/>
              </w:rPr>
              <w:t>0,5</w:t>
            </w:r>
          </w:p>
        </w:tc>
      </w:tr>
      <w:tr w:rsidR="00987721" w:rsidRPr="005F335B" w14:paraId="2A49F422" w14:textId="77777777" w:rsidTr="004239BC">
        <w:tc>
          <w:tcPr>
            <w:tcW w:w="5777" w:type="dxa"/>
            <w:shd w:val="clear" w:color="auto" w:fill="auto"/>
          </w:tcPr>
          <w:p w14:paraId="1FAAB0A2" w14:textId="77777777" w:rsidR="00987721" w:rsidRPr="005F335B" w:rsidRDefault="00987721" w:rsidP="00987721">
            <w:pPr>
              <w:tabs>
                <w:tab w:val="clear" w:pos="284"/>
              </w:tabs>
              <w:spacing w:line="240" w:lineRule="auto"/>
              <w:ind w:left="180"/>
            </w:pPr>
            <w:r w:rsidRPr="005F335B">
              <w:t>Micropropagazione. Colture di calli e sospensioni cellulari. Variabilità somaclonale. Ibridazione somatica. Piante aploidi.</w:t>
            </w:r>
          </w:p>
        </w:tc>
        <w:tc>
          <w:tcPr>
            <w:tcW w:w="1129" w:type="dxa"/>
            <w:shd w:val="clear" w:color="auto" w:fill="auto"/>
          </w:tcPr>
          <w:p w14:paraId="724709A5" w14:textId="77777777" w:rsidR="00987721" w:rsidRPr="00405105" w:rsidRDefault="00987721" w:rsidP="00987721">
            <w:pPr>
              <w:tabs>
                <w:tab w:val="clear" w:pos="284"/>
              </w:tabs>
              <w:spacing w:line="240" w:lineRule="auto"/>
            </w:pPr>
          </w:p>
        </w:tc>
      </w:tr>
      <w:tr w:rsidR="00987721" w:rsidRPr="005F335B" w14:paraId="1BA111AB" w14:textId="77777777" w:rsidTr="004239BC">
        <w:tc>
          <w:tcPr>
            <w:tcW w:w="5777" w:type="dxa"/>
            <w:shd w:val="clear" w:color="auto" w:fill="auto"/>
          </w:tcPr>
          <w:p w14:paraId="7227731F" w14:textId="77777777" w:rsidR="00987721" w:rsidRPr="005F335B" w:rsidRDefault="00692EA1" w:rsidP="00692EA1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A</w:t>
            </w:r>
            <w:r w:rsidR="00987721" w:rsidRPr="005F335B">
              <w:rPr>
                <w:rFonts w:ascii="Times New Roman" w:hAnsi="Times New Roman"/>
                <w:b/>
              </w:rPr>
              <w:t xml:space="preserve">nalisi </w:t>
            </w:r>
            <w:r>
              <w:rPr>
                <w:rFonts w:ascii="Times New Roman" w:hAnsi="Times New Roman"/>
                <w:b/>
              </w:rPr>
              <w:t xml:space="preserve">del </w:t>
            </w:r>
            <w:r w:rsidR="00987721" w:rsidRPr="005F335B">
              <w:rPr>
                <w:rFonts w:ascii="Times New Roman" w:hAnsi="Times New Roman"/>
                <w:b/>
              </w:rPr>
              <w:t>genom</w:t>
            </w:r>
            <w:r>
              <w:rPr>
                <w:rFonts w:ascii="Times New Roman" w:hAnsi="Times New Roman"/>
                <w:b/>
              </w:rPr>
              <w:t>a e applicazioni nel miglioramento genetico vegetale</w:t>
            </w:r>
          </w:p>
        </w:tc>
        <w:tc>
          <w:tcPr>
            <w:tcW w:w="1129" w:type="dxa"/>
            <w:shd w:val="clear" w:color="auto" w:fill="auto"/>
          </w:tcPr>
          <w:p w14:paraId="6E7863FF" w14:textId="77777777" w:rsidR="00987721" w:rsidRPr="00692EA1" w:rsidRDefault="00692EA1" w:rsidP="00987721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  <w:b/>
              </w:rPr>
            </w:pPr>
            <w:r w:rsidRPr="00692EA1">
              <w:rPr>
                <w:rFonts w:ascii="Times New Roman" w:hAnsi="Times New Roman"/>
                <w:b/>
              </w:rPr>
              <w:t>1,5</w:t>
            </w:r>
          </w:p>
        </w:tc>
      </w:tr>
      <w:tr w:rsidR="00987721" w:rsidRPr="005F335B" w14:paraId="3E88B673" w14:textId="77777777" w:rsidTr="004239BC">
        <w:tc>
          <w:tcPr>
            <w:tcW w:w="5777" w:type="dxa"/>
            <w:shd w:val="clear" w:color="auto" w:fill="auto"/>
          </w:tcPr>
          <w:p w14:paraId="0D2F937B" w14:textId="77777777" w:rsidR="00987721" w:rsidRPr="005F335B" w:rsidRDefault="00692EA1" w:rsidP="00692EA1">
            <w:pPr>
              <w:tabs>
                <w:tab w:val="clear" w:pos="284"/>
              </w:tabs>
              <w:spacing w:line="240" w:lineRule="auto"/>
              <w:ind w:left="180"/>
            </w:pPr>
            <w:r>
              <w:t xml:space="preserve">Metodologie classiche di analisi del DNA e sviluppo di marcatori molecolari. Metodologie di nuova generazione di analisi dei </w:t>
            </w:r>
            <w:r>
              <w:lastRenderedPageBreak/>
              <w:t>genomi. Identificazione di geni utili per il miglioramento genetico. Selezione genomica. Miglioramento per la resistenza a stress di natura abiotica e biotica.</w:t>
            </w:r>
          </w:p>
        </w:tc>
        <w:tc>
          <w:tcPr>
            <w:tcW w:w="1129" w:type="dxa"/>
            <w:shd w:val="clear" w:color="auto" w:fill="auto"/>
          </w:tcPr>
          <w:p w14:paraId="75399EA9" w14:textId="77777777" w:rsidR="00987721" w:rsidRPr="00405105" w:rsidRDefault="00987721" w:rsidP="00BB5C8B">
            <w:pPr>
              <w:tabs>
                <w:tab w:val="clear" w:pos="284"/>
              </w:tabs>
              <w:spacing w:line="240" w:lineRule="auto"/>
            </w:pPr>
          </w:p>
        </w:tc>
      </w:tr>
      <w:tr w:rsidR="00987721" w:rsidRPr="005F335B" w14:paraId="68B4A4F6" w14:textId="77777777" w:rsidTr="004239BC">
        <w:tc>
          <w:tcPr>
            <w:tcW w:w="5777" w:type="dxa"/>
            <w:shd w:val="clear" w:color="auto" w:fill="auto"/>
          </w:tcPr>
          <w:p w14:paraId="1DCC39C3" w14:textId="77777777" w:rsidR="00987721" w:rsidRPr="00692EA1" w:rsidRDefault="00987721" w:rsidP="00987721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  <w:b/>
              </w:rPr>
            </w:pPr>
            <w:r w:rsidRPr="00692EA1">
              <w:rPr>
                <w:rFonts w:ascii="Times New Roman" w:hAnsi="Times New Roman"/>
                <w:b/>
              </w:rPr>
              <w:t>Ingegneria genetica</w:t>
            </w:r>
            <w:r w:rsidR="00A92C19" w:rsidRPr="00692EA1">
              <w:rPr>
                <w:rFonts w:ascii="Times New Roman" w:hAnsi="Times New Roman"/>
                <w:b/>
              </w:rPr>
              <w:t xml:space="preserve"> e Genome Editing</w:t>
            </w:r>
          </w:p>
        </w:tc>
        <w:tc>
          <w:tcPr>
            <w:tcW w:w="1129" w:type="dxa"/>
            <w:shd w:val="clear" w:color="auto" w:fill="auto"/>
          </w:tcPr>
          <w:p w14:paraId="3ED0BB77" w14:textId="77777777" w:rsidR="00987721" w:rsidRPr="00692EA1" w:rsidRDefault="00692EA1" w:rsidP="00987721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  <w:b/>
              </w:rPr>
            </w:pPr>
            <w:r w:rsidRPr="00692EA1">
              <w:rPr>
                <w:rFonts w:ascii="Times New Roman" w:hAnsi="Times New Roman"/>
                <w:b/>
              </w:rPr>
              <w:t>1,5</w:t>
            </w:r>
          </w:p>
        </w:tc>
      </w:tr>
      <w:tr w:rsidR="00987721" w:rsidRPr="005F335B" w14:paraId="4D7534AE" w14:textId="77777777" w:rsidTr="004239BC">
        <w:tc>
          <w:tcPr>
            <w:tcW w:w="5777" w:type="dxa"/>
            <w:shd w:val="clear" w:color="auto" w:fill="auto"/>
          </w:tcPr>
          <w:p w14:paraId="75295E4F" w14:textId="77777777" w:rsidR="00987721" w:rsidRPr="005F335B" w:rsidRDefault="00987721" w:rsidP="00A92C19">
            <w:pPr>
              <w:tabs>
                <w:tab w:val="clear" w:pos="284"/>
              </w:tabs>
              <w:spacing w:line="240" w:lineRule="auto"/>
              <w:ind w:left="180"/>
            </w:pPr>
            <w:r w:rsidRPr="005F335B">
              <w:t xml:space="preserve">Tecnologia del DNA ricombinante. Sequenziamento. </w:t>
            </w:r>
            <w:r w:rsidR="00A92C19">
              <w:t xml:space="preserve">Mutagenesi indotta, </w:t>
            </w:r>
            <w:r w:rsidRPr="005F335B">
              <w:t xml:space="preserve">Piante transgeniche. Trasformazione </w:t>
            </w:r>
            <w:r w:rsidR="00A92C19">
              <w:t xml:space="preserve">genetica </w:t>
            </w:r>
            <w:r w:rsidRPr="005F335B">
              <w:t>stabile e transiente.</w:t>
            </w:r>
            <w:r w:rsidR="00A92C19">
              <w:t xml:space="preserve"> Genome Editing (CRISPR-Cas)</w:t>
            </w:r>
          </w:p>
        </w:tc>
        <w:tc>
          <w:tcPr>
            <w:tcW w:w="1129" w:type="dxa"/>
            <w:shd w:val="clear" w:color="auto" w:fill="auto"/>
          </w:tcPr>
          <w:p w14:paraId="4F1400F2" w14:textId="77777777" w:rsidR="00987721" w:rsidRPr="00405105" w:rsidRDefault="00987721" w:rsidP="00692EA1">
            <w:pPr>
              <w:tabs>
                <w:tab w:val="clear" w:pos="284"/>
              </w:tabs>
              <w:spacing w:line="240" w:lineRule="auto"/>
            </w:pPr>
          </w:p>
        </w:tc>
      </w:tr>
      <w:tr w:rsidR="00987721" w:rsidRPr="005F335B" w14:paraId="5C00766A" w14:textId="77777777" w:rsidTr="004239BC">
        <w:tc>
          <w:tcPr>
            <w:tcW w:w="5777" w:type="dxa"/>
            <w:shd w:val="clear" w:color="auto" w:fill="auto"/>
          </w:tcPr>
          <w:p w14:paraId="2472DF37" w14:textId="77777777" w:rsidR="00987721" w:rsidRPr="006B06F1" w:rsidRDefault="00987721" w:rsidP="00987721">
            <w:pPr>
              <w:tabs>
                <w:tab w:val="clear" w:pos="284"/>
              </w:tabs>
              <w:spacing w:line="240" w:lineRule="auto"/>
              <w:ind w:left="180"/>
              <w:rPr>
                <w:highlight w:val="yellow"/>
              </w:rPr>
            </w:pPr>
          </w:p>
        </w:tc>
        <w:tc>
          <w:tcPr>
            <w:tcW w:w="1129" w:type="dxa"/>
            <w:shd w:val="clear" w:color="auto" w:fill="auto"/>
          </w:tcPr>
          <w:p w14:paraId="65E9F8F3" w14:textId="77777777" w:rsidR="00987721" w:rsidRPr="006B06F1" w:rsidRDefault="00987721" w:rsidP="00987721">
            <w:pPr>
              <w:tabs>
                <w:tab w:val="clear" w:pos="284"/>
              </w:tabs>
              <w:spacing w:line="240" w:lineRule="auto"/>
              <w:rPr>
                <w:highlight w:val="yellow"/>
              </w:rPr>
            </w:pPr>
          </w:p>
        </w:tc>
      </w:tr>
      <w:tr w:rsidR="00987721" w:rsidRPr="005F335B" w14:paraId="44826F5B" w14:textId="77777777" w:rsidTr="004239BC">
        <w:tc>
          <w:tcPr>
            <w:tcW w:w="5777" w:type="dxa"/>
            <w:shd w:val="clear" w:color="auto" w:fill="auto"/>
          </w:tcPr>
          <w:p w14:paraId="18CBAF2E" w14:textId="77777777" w:rsidR="00987721" w:rsidRPr="005F335B" w:rsidRDefault="00987721" w:rsidP="00987721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335B">
              <w:rPr>
                <w:rFonts w:ascii="Times New Roman" w:hAnsi="Times New Roman"/>
                <w:b/>
              </w:rPr>
              <w:t>Esercitazioni</w:t>
            </w:r>
          </w:p>
        </w:tc>
        <w:tc>
          <w:tcPr>
            <w:tcW w:w="1129" w:type="dxa"/>
            <w:shd w:val="clear" w:color="auto" w:fill="auto"/>
          </w:tcPr>
          <w:p w14:paraId="590C360D" w14:textId="77777777" w:rsidR="00987721" w:rsidRPr="005F335B" w:rsidRDefault="00987721" w:rsidP="00987721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0BB" w:rsidRPr="00416A9A" w14:paraId="77BDDD63" w14:textId="77777777" w:rsidTr="00A6132A">
        <w:trPr>
          <w:trHeight w:val="470"/>
        </w:trPr>
        <w:tc>
          <w:tcPr>
            <w:tcW w:w="5777" w:type="dxa"/>
            <w:shd w:val="clear" w:color="auto" w:fill="auto"/>
          </w:tcPr>
          <w:p w14:paraId="5AF6DFB5" w14:textId="77777777" w:rsidR="002650BB" w:rsidRPr="002650BB" w:rsidRDefault="002650BB" w:rsidP="002650BB">
            <w:pPr>
              <w:spacing w:line="240" w:lineRule="auto"/>
              <w:ind w:left="180"/>
              <w:rPr>
                <w:highlight w:val="yellow"/>
              </w:rPr>
            </w:pPr>
            <w:r w:rsidRPr="00152F42">
              <w:t>Esercitazioni pratiche in laboratorio e visite didattiche presso Centri di Ricerca.</w:t>
            </w:r>
          </w:p>
        </w:tc>
        <w:tc>
          <w:tcPr>
            <w:tcW w:w="1129" w:type="dxa"/>
            <w:shd w:val="clear" w:color="auto" w:fill="auto"/>
          </w:tcPr>
          <w:p w14:paraId="4BF100F0" w14:textId="77777777" w:rsidR="002650BB" w:rsidRPr="002650BB" w:rsidRDefault="002650BB" w:rsidP="00987721">
            <w:pPr>
              <w:spacing w:line="240" w:lineRule="auto"/>
              <w:rPr>
                <w:highlight w:val="yellow"/>
              </w:rPr>
            </w:pPr>
            <w:r w:rsidRPr="004F4832">
              <w:t>2.0</w:t>
            </w:r>
          </w:p>
        </w:tc>
      </w:tr>
    </w:tbl>
    <w:p w14:paraId="49E315E0" w14:textId="77777777" w:rsidR="00E51E67" w:rsidRPr="00416A9A" w:rsidRDefault="00E51E67" w:rsidP="00E51E67">
      <w:pPr>
        <w:keepNext/>
        <w:spacing w:before="240" w:after="120"/>
        <w:rPr>
          <w:b/>
          <w:sz w:val="18"/>
        </w:rPr>
      </w:pPr>
      <w:r w:rsidRPr="00416A9A">
        <w:rPr>
          <w:b/>
          <w:i/>
          <w:sz w:val="18"/>
        </w:rPr>
        <w:t>BIBLIOGRAFIA</w:t>
      </w:r>
    </w:p>
    <w:p w14:paraId="27CB1668" w14:textId="77777777" w:rsidR="00E52B1E" w:rsidRDefault="00465F46" w:rsidP="00E52B1E">
      <w:pPr>
        <w:spacing w:line="240" w:lineRule="atLeast"/>
        <w:ind w:left="284" w:hanging="284"/>
        <w:rPr>
          <w:smallCaps/>
          <w:spacing w:val="-5"/>
          <w:sz w:val="16"/>
        </w:rPr>
      </w:pPr>
      <w:r w:rsidRPr="00416A9A">
        <w:rPr>
          <w:smallCaps/>
          <w:spacing w:val="-5"/>
          <w:sz w:val="16"/>
        </w:rPr>
        <w:t xml:space="preserve">Barcaccia G. e Falcinelli M. </w:t>
      </w:r>
      <w:r w:rsidRPr="00416A9A">
        <w:rPr>
          <w:i/>
          <w:smallCaps/>
          <w:spacing w:val="-5"/>
          <w:sz w:val="16"/>
        </w:rPr>
        <w:t>Genetica e genomica</w:t>
      </w:r>
      <w:r w:rsidRPr="00416A9A">
        <w:rPr>
          <w:smallCaps/>
          <w:spacing w:val="-5"/>
          <w:sz w:val="16"/>
        </w:rPr>
        <w:t>. Vol 2 Miglioramento genetico, Vol 3 Genomica e Biotecnologie genetiche.  Liguori editore, Napoli, 2012.</w:t>
      </w:r>
    </w:p>
    <w:p w14:paraId="35275A11" w14:textId="77777777" w:rsidR="00B229B8" w:rsidRDefault="00B229B8" w:rsidP="00E52B1E">
      <w:pPr>
        <w:spacing w:line="240" w:lineRule="atLeast"/>
        <w:ind w:left="284" w:hanging="284"/>
        <w:rPr>
          <w:smallCaps/>
          <w:spacing w:val="-5"/>
          <w:sz w:val="16"/>
        </w:rPr>
      </w:pPr>
      <w:r>
        <w:rPr>
          <w:smallCaps/>
          <w:spacing w:val="-5"/>
          <w:sz w:val="16"/>
        </w:rPr>
        <w:t>Lorenzetti F, Albertini E, Frusciante L. Rossellini D, Russi L, Tuberosa R, Veronesi F. Miglioramento genetico delle piante agrarie, Edagricole, 2018</w:t>
      </w:r>
    </w:p>
    <w:p w14:paraId="41B70030" w14:textId="77777777" w:rsidR="000B48B9" w:rsidRPr="00416A9A" w:rsidRDefault="000B48B9" w:rsidP="00E52B1E">
      <w:pPr>
        <w:spacing w:line="240" w:lineRule="atLeast"/>
        <w:ind w:left="284" w:hanging="284"/>
        <w:rPr>
          <w:smallCaps/>
          <w:spacing w:val="-5"/>
          <w:sz w:val="16"/>
        </w:rPr>
      </w:pPr>
      <w:r>
        <w:rPr>
          <w:smallCaps/>
          <w:spacing w:val="-5"/>
          <w:sz w:val="16"/>
        </w:rPr>
        <w:t>Le presentazioni power point saranno rese disponibili durante il corso all’inizio di ogni nuova macro area.</w:t>
      </w:r>
    </w:p>
    <w:p w14:paraId="248F0C41" w14:textId="77777777" w:rsidR="00763B91" w:rsidRPr="00416A9A" w:rsidRDefault="00763B91" w:rsidP="00763B91">
      <w:pPr>
        <w:spacing w:line="240" w:lineRule="atLeast"/>
        <w:ind w:left="284" w:hanging="284"/>
        <w:rPr>
          <w:smallCaps/>
          <w:spacing w:val="-5"/>
          <w:sz w:val="16"/>
        </w:rPr>
      </w:pPr>
    </w:p>
    <w:p w14:paraId="1ED5D2C9" w14:textId="77777777" w:rsidR="00E51E67" w:rsidRPr="00416A9A" w:rsidRDefault="00E51E67" w:rsidP="00763B91">
      <w:pPr>
        <w:spacing w:line="240" w:lineRule="atLeast"/>
        <w:ind w:left="284" w:hanging="284"/>
        <w:rPr>
          <w:smallCaps/>
          <w:spacing w:val="-5"/>
          <w:sz w:val="16"/>
        </w:rPr>
      </w:pPr>
      <w:r w:rsidRPr="00416A9A">
        <w:rPr>
          <w:b/>
          <w:i/>
          <w:sz w:val="18"/>
        </w:rPr>
        <w:t>DIDATTICA DEL CORSO</w:t>
      </w:r>
    </w:p>
    <w:p w14:paraId="0C043334" w14:textId="77777777" w:rsidR="00BA6803" w:rsidRDefault="00BA6803" w:rsidP="000B48B9">
      <w:pPr>
        <w:pStyle w:val="Testo2"/>
        <w:ind w:firstLine="0"/>
      </w:pPr>
      <w:r>
        <w:t xml:space="preserve">1) </w:t>
      </w:r>
      <w:r w:rsidR="00E51E67" w:rsidRPr="00152F42">
        <w:t xml:space="preserve">Lezioni </w:t>
      </w:r>
      <w:r>
        <w:t>frontali e dialogate di tipo teorico in aula, nel corso delle quali verranno esposti i concetti chiave del miglioramento genetico vegetale classico e moderno;</w:t>
      </w:r>
    </w:p>
    <w:p w14:paraId="182CFEA0" w14:textId="77777777" w:rsidR="00615964" w:rsidRDefault="00BA6803" w:rsidP="000B48B9">
      <w:pPr>
        <w:pStyle w:val="Testo2"/>
        <w:ind w:firstLine="0"/>
      </w:pPr>
      <w:r>
        <w:t>2) Esercitazioni in laboratorio</w:t>
      </w:r>
      <w:r w:rsidR="000F67BC">
        <w:t>,</w:t>
      </w:r>
      <w:r>
        <w:t xml:space="preserve"> nel corso delle quali verrà </w:t>
      </w:r>
      <w:r w:rsidR="00615964">
        <w:t>realizzato un esperimento di analisi della biodiversità vegetale a partire dall’estrazione del DNA, alle reazioni di PCR e alla valutazione finale dei risultati;</w:t>
      </w:r>
    </w:p>
    <w:p w14:paraId="11310476" w14:textId="77777777" w:rsidR="00E51E67" w:rsidRPr="00416A9A" w:rsidRDefault="00615964" w:rsidP="000B48B9">
      <w:pPr>
        <w:pStyle w:val="Testo2"/>
        <w:ind w:firstLine="0"/>
      </w:pPr>
      <w:r>
        <w:t xml:space="preserve">3) Visite didattiche presso due realtà di interesse per il breeding vegetale: a) ISI sementi, azienda italiana impegnata nella costituzione di nuove varietà di orticole mediante l’integrazione di approcci di breeding classico ed innovativo; b) CREA </w:t>
      </w:r>
      <w:r w:rsidRPr="00615964">
        <w:t>Centro di ricerca per la genomica e la postgenomica animale e vegetale (GPG)</w:t>
      </w:r>
      <w:r>
        <w:t xml:space="preserve"> di Fiorenzuola d’Arda</w:t>
      </w:r>
      <w:r w:rsidR="00BC1647" w:rsidRPr="00152F42">
        <w:t>,</w:t>
      </w:r>
      <w:r w:rsidR="00E51E67" w:rsidRPr="00152F42">
        <w:t xml:space="preserve"> </w:t>
      </w:r>
      <w:r>
        <w:t xml:space="preserve">per </w:t>
      </w:r>
      <w:r w:rsidR="000F67BC">
        <w:t xml:space="preserve">approfondire </w:t>
      </w:r>
      <w:r>
        <w:t>il miglioramento genetico delle cerealicole con particolare riferimento all’orzo.</w:t>
      </w:r>
    </w:p>
    <w:p w14:paraId="2084EF85" w14:textId="77777777" w:rsidR="00E51E67" w:rsidRPr="00416A9A" w:rsidRDefault="00E51E67" w:rsidP="00E51E67">
      <w:pPr>
        <w:spacing w:before="240" w:after="120" w:line="220" w:lineRule="exact"/>
        <w:rPr>
          <w:b/>
          <w:i/>
          <w:sz w:val="18"/>
        </w:rPr>
      </w:pPr>
      <w:r w:rsidRPr="00416A9A">
        <w:rPr>
          <w:b/>
          <w:i/>
          <w:sz w:val="18"/>
        </w:rPr>
        <w:t>METODO DI VALUTAZIONE</w:t>
      </w:r>
    </w:p>
    <w:p w14:paraId="26E59430" w14:textId="77777777" w:rsidR="00CF4FA8" w:rsidRDefault="00CF4FA8" w:rsidP="00CF4FA8">
      <w:r>
        <w:t xml:space="preserve">L’esame si basa su un colloquio orale che servirà a valutare le conoscenze </w:t>
      </w:r>
      <w:r w:rsidRPr="00405105">
        <w:t xml:space="preserve">acquisite dal candidato relativamente alle tematiche oggetto dell’insegnamento. </w:t>
      </w:r>
      <w:r w:rsidR="000B48B9">
        <w:t xml:space="preserve">L’esame consta di tre domande </w:t>
      </w:r>
      <w:r w:rsidR="0058078D" w:rsidRPr="00405105">
        <w:t xml:space="preserve">riguardanti le principali tematiche esposte in classe. </w:t>
      </w:r>
      <w:r w:rsidRPr="00405105">
        <w:t>Tale colloquio sarà strutturato per coprire in modo rappresentativo l'inter</w:t>
      </w:r>
      <w:r w:rsidR="0058078D" w:rsidRPr="00405105">
        <w:t xml:space="preserve">a gamma di argomenti del corso. </w:t>
      </w:r>
      <w:r w:rsidR="000B48B9">
        <w:t xml:space="preserve">Ad ogni domanda verrà assegnato un punteggio da 1 a 10. </w:t>
      </w:r>
      <w:r w:rsidRPr="00405105">
        <w:t>Il punteggio attribuito ad ogni risposta dipenderà, oltre che</w:t>
      </w:r>
      <w:r w:rsidR="00F3784A">
        <w:t xml:space="preserve"> </w:t>
      </w:r>
      <w:r w:rsidRPr="00405105">
        <w:t>dal livello di conoscenza mostrato, dalla chiarezza espositiva</w:t>
      </w:r>
      <w:r w:rsidR="000B48B9">
        <w:t>,</w:t>
      </w:r>
      <w:r w:rsidRPr="00405105">
        <w:t xml:space="preserve"> dall'uso appropriato della terminologia </w:t>
      </w:r>
      <w:r w:rsidRPr="00405105">
        <w:lastRenderedPageBreak/>
        <w:t>specifica</w:t>
      </w:r>
      <w:r w:rsidR="000B48B9">
        <w:t xml:space="preserve"> e dalla capacità mostrata dallo studente a ragionare sulle tematiche oggetto del colloquio.</w:t>
      </w:r>
    </w:p>
    <w:p w14:paraId="5072CB3B" w14:textId="77777777" w:rsidR="000B48B9" w:rsidRDefault="000B48B9" w:rsidP="00CF4FA8"/>
    <w:p w14:paraId="5EEB6F72" w14:textId="77777777" w:rsidR="000B48B9" w:rsidRPr="000B48B9" w:rsidRDefault="000B48B9" w:rsidP="00CF4FA8">
      <w:pPr>
        <w:rPr>
          <w:b/>
          <w:i/>
        </w:rPr>
      </w:pPr>
      <w:r w:rsidRPr="000B48B9">
        <w:rPr>
          <w:b/>
          <w:i/>
        </w:rPr>
        <w:t>AVVERTENZE E PREREQUISITI</w:t>
      </w:r>
    </w:p>
    <w:p w14:paraId="091F6087" w14:textId="77777777" w:rsidR="0060738B" w:rsidRDefault="0060738B" w:rsidP="00CF4FA8">
      <w:r>
        <w:t>La partecipazione alle lezioni e alle esercitazioni è altamente raccomandata.</w:t>
      </w:r>
    </w:p>
    <w:p w14:paraId="13C6D50A" w14:textId="77777777" w:rsidR="0060738B" w:rsidRDefault="0060738B" w:rsidP="00CF4FA8"/>
    <w:p w14:paraId="4DE7AABD" w14:textId="77777777" w:rsidR="000B48B9" w:rsidRPr="00405105" w:rsidRDefault="000B48B9" w:rsidP="00CF4FA8">
      <w:r>
        <w:t xml:space="preserve">Per la corretta comprensione dei contenuti del corso è importante, ma non fondamentale, che gli studenti abbiano seguito, nel corso della Laurea Triennale, un corso di genetica di base. </w:t>
      </w:r>
    </w:p>
    <w:p w14:paraId="4B8DE0C9" w14:textId="77777777" w:rsidR="00CF4FA8" w:rsidRPr="00405105" w:rsidRDefault="00CF4FA8" w:rsidP="00853A5E">
      <w:pPr>
        <w:pStyle w:val="Testo2"/>
      </w:pPr>
    </w:p>
    <w:p w14:paraId="1CF56DD7" w14:textId="77777777" w:rsidR="00CF4FA8" w:rsidRPr="00405105" w:rsidRDefault="00CF4FA8" w:rsidP="00853A5E">
      <w:pPr>
        <w:pStyle w:val="Testo2"/>
      </w:pPr>
    </w:p>
    <w:p w14:paraId="0E839D63" w14:textId="72EC7E55" w:rsidR="005E303E" w:rsidRPr="00E51E67" w:rsidRDefault="005E303E" w:rsidP="005E303E">
      <w:pPr>
        <w:pStyle w:val="Testo2"/>
      </w:pPr>
      <w:r w:rsidRPr="00405105">
        <w:t xml:space="preserve">Il </w:t>
      </w:r>
      <w:r w:rsidR="001703D0">
        <w:t>docente</w:t>
      </w:r>
      <w:r w:rsidRPr="00405105">
        <w:t xml:space="preserve"> riceve gli studenti</w:t>
      </w:r>
      <w:r w:rsidR="00E04360">
        <w:t>: in presenza</w:t>
      </w:r>
      <w:r w:rsidRPr="00405105">
        <w:t xml:space="preserve"> tutti i giorni presso la sezione di Agronomia e Biotecnologie Vegetali del Dipartimento di Scienze delle Produzioni Vegetali Sostenibili</w:t>
      </w:r>
      <w:r w:rsidR="00E04360">
        <w:t>; a distanza, mediante colloqui tramite la piattaforma Microsoft Teams, per appuntamento</w:t>
      </w:r>
      <w:r w:rsidRPr="00405105">
        <w:t>.</w:t>
      </w:r>
    </w:p>
    <w:p w14:paraId="6A398EFE" w14:textId="77777777" w:rsidR="005E303E" w:rsidRPr="004A29B6" w:rsidRDefault="005E303E" w:rsidP="005E303E">
      <w:pPr>
        <w:pStyle w:val="Testo2"/>
      </w:pPr>
    </w:p>
    <w:p w14:paraId="3D2F90AC" w14:textId="77777777" w:rsidR="00E51E67" w:rsidRPr="00E51E67" w:rsidRDefault="00E51E67" w:rsidP="005E303E">
      <w:pPr>
        <w:pStyle w:val="Testo2"/>
      </w:pPr>
      <w:bookmarkStart w:id="0" w:name="_GoBack"/>
      <w:bookmarkEnd w:id="0"/>
    </w:p>
    <w:sectPr w:rsidR="00E51E67" w:rsidRPr="00E51E67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4D1"/>
    <w:rsid w:val="00032BEA"/>
    <w:rsid w:val="00073E61"/>
    <w:rsid w:val="000B48B9"/>
    <w:rsid w:val="000D7974"/>
    <w:rsid w:val="000E576A"/>
    <w:rsid w:val="000F67BC"/>
    <w:rsid w:val="00110903"/>
    <w:rsid w:val="00113B02"/>
    <w:rsid w:val="00152F42"/>
    <w:rsid w:val="001703D0"/>
    <w:rsid w:val="001755DA"/>
    <w:rsid w:val="001B135B"/>
    <w:rsid w:val="002650BB"/>
    <w:rsid w:val="002A5E2B"/>
    <w:rsid w:val="0032368C"/>
    <w:rsid w:val="00325773"/>
    <w:rsid w:val="00333C64"/>
    <w:rsid w:val="00405105"/>
    <w:rsid w:val="00416A9A"/>
    <w:rsid w:val="004239BC"/>
    <w:rsid w:val="00432BA3"/>
    <w:rsid w:val="00436452"/>
    <w:rsid w:val="00465F46"/>
    <w:rsid w:val="004F4832"/>
    <w:rsid w:val="00511444"/>
    <w:rsid w:val="0055060A"/>
    <w:rsid w:val="0058078D"/>
    <w:rsid w:val="005E303E"/>
    <w:rsid w:val="005F335B"/>
    <w:rsid w:val="0060738B"/>
    <w:rsid w:val="00615964"/>
    <w:rsid w:val="0066124A"/>
    <w:rsid w:val="00667CB8"/>
    <w:rsid w:val="00677259"/>
    <w:rsid w:val="00692EA1"/>
    <w:rsid w:val="006B06F1"/>
    <w:rsid w:val="00703052"/>
    <w:rsid w:val="007206B6"/>
    <w:rsid w:val="00763B91"/>
    <w:rsid w:val="007D093B"/>
    <w:rsid w:val="008501C1"/>
    <w:rsid w:val="00853A5E"/>
    <w:rsid w:val="008847D4"/>
    <w:rsid w:val="008C3FFC"/>
    <w:rsid w:val="00987721"/>
    <w:rsid w:val="009A5EFB"/>
    <w:rsid w:val="00A339A2"/>
    <w:rsid w:val="00A92C19"/>
    <w:rsid w:val="00B229B8"/>
    <w:rsid w:val="00B60176"/>
    <w:rsid w:val="00BA6803"/>
    <w:rsid w:val="00BB5C8B"/>
    <w:rsid w:val="00BC1647"/>
    <w:rsid w:val="00C25723"/>
    <w:rsid w:val="00CD4B21"/>
    <w:rsid w:val="00CF4FA8"/>
    <w:rsid w:val="00DD4B8F"/>
    <w:rsid w:val="00E0018D"/>
    <w:rsid w:val="00E04360"/>
    <w:rsid w:val="00E51E67"/>
    <w:rsid w:val="00E52B1E"/>
    <w:rsid w:val="00EC659D"/>
    <w:rsid w:val="00F36D64"/>
    <w:rsid w:val="00F3784A"/>
    <w:rsid w:val="00F46BD1"/>
    <w:rsid w:val="00F528D6"/>
    <w:rsid w:val="00FC1EC5"/>
    <w:rsid w:val="00FD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019982"/>
  <w15:docId w15:val="{7F57B1B1-4901-4B58-A33D-75A94CC94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Rimandocommento">
    <w:name w:val="annotation reference"/>
    <w:basedOn w:val="Carpredefinitoparagrafo"/>
    <w:rsid w:val="006B06F1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B06F1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6B06F1"/>
    <w:rPr>
      <w:rFonts w:ascii="Times" w:hAnsi="Times"/>
    </w:rPr>
  </w:style>
  <w:style w:type="paragraph" w:styleId="Soggettocommento">
    <w:name w:val="annotation subject"/>
    <w:basedOn w:val="Testocommento"/>
    <w:next w:val="Testocommento"/>
    <w:link w:val="SoggettocommentoCarattere"/>
    <w:rsid w:val="006B06F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6B06F1"/>
    <w:rPr>
      <w:rFonts w:ascii="Times" w:hAnsi="Times"/>
      <w:b/>
      <w:bCs/>
    </w:rPr>
  </w:style>
  <w:style w:type="paragraph" w:styleId="Testofumetto">
    <w:name w:val="Balloon Text"/>
    <w:basedOn w:val="Normale"/>
    <w:link w:val="TestofumettoCarattere"/>
    <w:rsid w:val="006B06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B06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2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ta.arata\Dati%20applicazioni\Microsoft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0C58D0DF0B4254E810C7E2CD462B48D" ma:contentTypeVersion="13" ma:contentTypeDescription="Creare un nuovo documento." ma:contentTypeScope="" ma:versionID="e61f91c909d18a9bb3ddcf7f85749409">
  <xsd:schema xmlns:xsd="http://www.w3.org/2001/XMLSchema" xmlns:xs="http://www.w3.org/2001/XMLSchema" xmlns:p="http://schemas.microsoft.com/office/2006/metadata/properties" xmlns:ns3="4345d43a-acc9-4ada-9435-a3456e481d8c" xmlns:ns4="03aaa1a9-d627-43d8-9c25-125d861f1890" targetNamespace="http://schemas.microsoft.com/office/2006/metadata/properties" ma:root="true" ma:fieldsID="b742a69476b41055a948dc92937e946a" ns3:_="" ns4:_="">
    <xsd:import namespace="4345d43a-acc9-4ada-9435-a3456e481d8c"/>
    <xsd:import namespace="03aaa1a9-d627-43d8-9c25-125d861f18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5d43a-acc9-4ada-9435-a3456e481d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aa1a9-d627-43d8-9c25-125d861f189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606D61-3333-4036-847C-1E6E21C085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8CBE81-C2C2-41F9-9067-E8D42409BB1F}">
  <ds:schemaRefs>
    <ds:schemaRef ds:uri="http://schemas.microsoft.com/office/2006/documentManagement/types"/>
    <ds:schemaRef ds:uri="http://www.w3.org/XML/1998/namespace"/>
    <ds:schemaRef ds:uri="4345d43a-acc9-4ada-9435-a3456e481d8c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03aaa1a9-d627-43d8-9c25-125d861f1890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336D7F1-B780-4B55-940A-F6F7F56EBA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45d43a-acc9-4ada-9435-a3456e481d8c"/>
    <ds:schemaRef ds:uri="03aaa1a9-d627-43d8-9c25-125d861f1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</TotalTime>
  <Pages>4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</dc:creator>
  <cp:lastModifiedBy>Busconi Matteo (matteo.busconi)</cp:lastModifiedBy>
  <cp:revision>4</cp:revision>
  <cp:lastPrinted>2011-07-20T09:45:00Z</cp:lastPrinted>
  <dcterms:created xsi:type="dcterms:W3CDTF">2021-05-19T12:19:00Z</dcterms:created>
  <dcterms:modified xsi:type="dcterms:W3CDTF">2021-05-20T07:36:00Z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0x01010040C58D0DF0B4254E810C7E2CD462B48D</vt:lpwstr>
  </property>
</Properties>
</file>