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D1927" w14:textId="0DC43CDF" w:rsidR="000D7EDA" w:rsidRDefault="000D7EDA" w:rsidP="00F55E9C">
      <w:pPr>
        <w:pStyle w:val="Titolo1"/>
        <w:spacing w:line="240" w:lineRule="auto"/>
        <w:rPr>
          <w:rFonts w:ascii="Times New Roman" w:hAnsi="Times New Roman"/>
          <w:noProof w:val="0"/>
          <w:lang w:val="en-GB"/>
        </w:rPr>
      </w:pPr>
      <w:r w:rsidRPr="00D1610E">
        <w:rPr>
          <w:rFonts w:ascii="Times New Roman" w:hAnsi="Times New Roman"/>
          <w:noProof w:val="0"/>
          <w:lang w:val="en-GB"/>
        </w:rPr>
        <w:t xml:space="preserve">Sustainable </w:t>
      </w:r>
      <w:r w:rsidR="00E50F14">
        <w:rPr>
          <w:rFonts w:ascii="Times New Roman" w:hAnsi="Times New Roman"/>
          <w:noProof w:val="0"/>
          <w:lang w:val="en-GB"/>
        </w:rPr>
        <w:t>v</w:t>
      </w:r>
      <w:r w:rsidRPr="00D1610E">
        <w:rPr>
          <w:rFonts w:ascii="Times New Roman" w:hAnsi="Times New Roman"/>
          <w:noProof w:val="0"/>
          <w:lang w:val="en-GB"/>
        </w:rPr>
        <w:t xml:space="preserve">alue and Integrated </w:t>
      </w:r>
      <w:r w:rsidR="00E50F14">
        <w:rPr>
          <w:rFonts w:ascii="Times New Roman" w:hAnsi="Times New Roman"/>
          <w:noProof w:val="0"/>
          <w:lang w:val="en-GB"/>
        </w:rPr>
        <w:t>r</w:t>
      </w:r>
      <w:r w:rsidRPr="00D1610E">
        <w:rPr>
          <w:rFonts w:ascii="Times New Roman" w:hAnsi="Times New Roman"/>
          <w:noProof w:val="0"/>
          <w:lang w:val="en-GB"/>
        </w:rPr>
        <w:t>eporting</w:t>
      </w:r>
    </w:p>
    <w:p w14:paraId="49BD1C19" w14:textId="45021804" w:rsidR="002A64C6" w:rsidRPr="00D1610E" w:rsidRDefault="004D19AE" w:rsidP="002A64C6">
      <w:pPr>
        <w:keepNext/>
        <w:tabs>
          <w:tab w:val="clear" w:pos="284"/>
          <w:tab w:val="left" w:pos="9072"/>
        </w:tabs>
        <w:suppressAutoHyphens/>
        <w:spacing w:line="240" w:lineRule="auto"/>
        <w:ind w:right="28"/>
        <w:outlineLvl w:val="0"/>
        <w:rPr>
          <w:rFonts w:ascii="Times New Roman" w:hAnsi="Times New Roman"/>
          <w:b/>
          <w:i/>
          <w:kern w:val="2"/>
          <w:lang w:val="en-US" w:eastAsia="ar-SA"/>
        </w:rPr>
      </w:pPr>
      <w:r>
        <w:rPr>
          <w:rFonts w:ascii="Times New Roman" w:hAnsi="Times New Roman"/>
          <w:smallCaps/>
          <w:kern w:val="2"/>
          <w:lang w:val="en-US" w:eastAsia="ar-SA"/>
        </w:rPr>
        <w:t>Prof.</w:t>
      </w:r>
      <w:r w:rsidR="001908DD">
        <w:rPr>
          <w:rFonts w:ascii="Times New Roman" w:hAnsi="Times New Roman"/>
          <w:smallCaps/>
          <w:kern w:val="2"/>
          <w:lang w:val="en-US" w:eastAsia="ar-SA"/>
        </w:rPr>
        <w:t xml:space="preserve"> </w:t>
      </w:r>
      <w:r w:rsidR="002A64C6" w:rsidRPr="00D1610E">
        <w:rPr>
          <w:rFonts w:ascii="Times New Roman" w:hAnsi="Times New Roman"/>
          <w:smallCaps/>
          <w:kern w:val="2"/>
          <w:lang w:val="en-US" w:eastAsia="ar-SA"/>
        </w:rPr>
        <w:t>Anna Maria Fellegara</w:t>
      </w:r>
    </w:p>
    <w:p w14:paraId="638AEE7E" w14:textId="59A70E55" w:rsidR="006030A6" w:rsidRDefault="00C46E0D" w:rsidP="00F55E9C">
      <w:pPr>
        <w:pStyle w:val="Titolo1"/>
        <w:spacing w:line="240" w:lineRule="auto"/>
        <w:rPr>
          <w:rFonts w:ascii="Times New Roman" w:hAnsi="Times New Roman"/>
          <w:lang w:val="en-GB"/>
        </w:rPr>
      </w:pPr>
      <w:r w:rsidRPr="00D1610E">
        <w:rPr>
          <w:rFonts w:ascii="Times New Roman" w:hAnsi="Times New Roman"/>
          <w:noProof w:val="0"/>
          <w:lang w:val="en-GB"/>
        </w:rPr>
        <w:t xml:space="preserve">Module I: </w:t>
      </w:r>
      <w:r w:rsidR="000D7EDA" w:rsidRPr="00D1610E">
        <w:rPr>
          <w:rFonts w:ascii="Times New Roman" w:hAnsi="Times New Roman"/>
          <w:lang w:val="en-GB"/>
        </w:rPr>
        <w:t xml:space="preserve">Sustainable </w:t>
      </w:r>
      <w:r w:rsidR="00E50F14">
        <w:rPr>
          <w:rFonts w:ascii="Times New Roman" w:hAnsi="Times New Roman"/>
          <w:lang w:val="en-GB"/>
        </w:rPr>
        <w:t>v</w:t>
      </w:r>
      <w:r w:rsidR="000D7EDA" w:rsidRPr="00D1610E">
        <w:rPr>
          <w:rFonts w:ascii="Times New Roman" w:hAnsi="Times New Roman"/>
          <w:lang w:val="en-GB"/>
        </w:rPr>
        <w:t>alue</w:t>
      </w:r>
    </w:p>
    <w:p w14:paraId="7A2F0390" w14:textId="77777777" w:rsidR="00C72839" w:rsidRPr="00D1610E" w:rsidRDefault="00C72839" w:rsidP="00F55E9C">
      <w:pPr>
        <w:spacing w:before="240" w:after="120" w:line="240" w:lineRule="auto"/>
        <w:rPr>
          <w:rFonts w:ascii="Times New Roman" w:hAnsi="Times New Roman"/>
          <w:b/>
          <w:sz w:val="18"/>
          <w:szCs w:val="18"/>
          <w:lang w:val="en-GB"/>
        </w:rPr>
      </w:pPr>
      <w:r w:rsidRPr="00D1610E">
        <w:rPr>
          <w:rFonts w:ascii="Times New Roman" w:hAnsi="Times New Roman"/>
          <w:b/>
          <w:i/>
          <w:sz w:val="18"/>
          <w:szCs w:val="18"/>
          <w:lang w:val="en-GB"/>
        </w:rPr>
        <w:t>COURSE AIMS AND INTENDEND LEARNING OUTCOMES</w:t>
      </w:r>
    </w:p>
    <w:p w14:paraId="78A89D46" w14:textId="77777777" w:rsidR="006030A6" w:rsidRPr="00D1610E" w:rsidRDefault="000D7EDA" w:rsidP="00F55E9C">
      <w:pPr>
        <w:tabs>
          <w:tab w:val="clear" w:pos="284"/>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aim of the course is to introduce students to the concepts of business, sustainability and sustainable development. The course aims to provide the basic knowledge for understanding the structure of a company, the logic and mechanisms of operation, the environment in which it operates, the system of values it generates and the balances that ensure its development. In addition, some fundamental tools are introduced for the analysis of costs aimed at a better understanding of the budgeting control activities that complete the systemic and cyclical vision of corporate programming. Finally, the course frames the analysis of business activities within the concepts of social responsibility and sustainability, discussing the implications in terms of management models, organizational critical issues, identification and involvement of stakeholders in the decision-making processes and assessment of corporate performance.</w:t>
      </w:r>
      <w:r w:rsidR="006030A6" w:rsidRPr="00D1610E">
        <w:rPr>
          <w:rFonts w:ascii="Times New Roman" w:hAnsi="Times New Roman"/>
          <w:kern w:val="2"/>
          <w:sz w:val="18"/>
          <w:szCs w:val="18"/>
          <w:lang w:val="en-GB" w:eastAsia="ar-SA"/>
        </w:rPr>
        <w:t xml:space="preserve"> </w:t>
      </w:r>
    </w:p>
    <w:p w14:paraId="77A69145" w14:textId="77777777" w:rsidR="009510B5" w:rsidRPr="00D1610E" w:rsidRDefault="009510B5" w:rsidP="009510B5">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At the end of the course the student will be able to:</w:t>
      </w:r>
    </w:p>
    <w:p w14:paraId="4C1FF43C"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 xml:space="preserve">Know </w:t>
      </w:r>
      <w:r w:rsidR="0015130F" w:rsidRPr="00D1610E">
        <w:rPr>
          <w:rFonts w:ascii="Times New Roman" w:hAnsi="Times New Roman"/>
          <w:kern w:val="2"/>
          <w:sz w:val="18"/>
          <w:szCs w:val="18"/>
          <w:lang w:val="en-GB" w:eastAsia="ar-SA"/>
        </w:rPr>
        <w:t>what</w:t>
      </w:r>
      <w:r w:rsidRPr="00D1610E">
        <w:rPr>
          <w:rFonts w:ascii="Times New Roman" w:hAnsi="Times New Roman"/>
          <w:kern w:val="2"/>
          <w:sz w:val="18"/>
          <w:szCs w:val="18"/>
          <w:lang w:val="en-GB" w:eastAsia="ar-SA"/>
        </w:rPr>
        <w:t xml:space="preserve"> are the </w:t>
      </w:r>
      <w:r w:rsidR="0015130F" w:rsidRPr="00D1610E">
        <w:rPr>
          <w:rFonts w:ascii="Times New Roman" w:hAnsi="Times New Roman"/>
          <w:kern w:val="2"/>
          <w:sz w:val="18"/>
          <w:szCs w:val="18"/>
          <w:lang w:val="en-GB" w:eastAsia="ar-SA"/>
        </w:rPr>
        <w:t>most relevant</w:t>
      </w:r>
      <w:r w:rsidRPr="00D1610E">
        <w:rPr>
          <w:rFonts w:ascii="Times New Roman" w:hAnsi="Times New Roman"/>
          <w:kern w:val="2"/>
          <w:sz w:val="18"/>
          <w:szCs w:val="18"/>
          <w:lang w:val="en-GB" w:eastAsia="ar-SA"/>
        </w:rPr>
        <w:t xml:space="preserve"> decision</w:t>
      </w:r>
      <w:r w:rsidR="0015130F" w:rsidRPr="00D1610E">
        <w:rPr>
          <w:rFonts w:ascii="Times New Roman" w:hAnsi="Times New Roman"/>
          <w:kern w:val="2"/>
          <w:sz w:val="18"/>
          <w:szCs w:val="18"/>
          <w:lang w:val="en-GB" w:eastAsia="ar-SA"/>
        </w:rPr>
        <w:t>s</w:t>
      </w:r>
      <w:r w:rsidRPr="00D1610E">
        <w:rPr>
          <w:rFonts w:ascii="Times New Roman" w:hAnsi="Times New Roman"/>
          <w:kern w:val="2"/>
          <w:sz w:val="18"/>
          <w:szCs w:val="18"/>
          <w:lang w:val="en-GB" w:eastAsia="ar-SA"/>
        </w:rPr>
        <w:t xml:space="preserve"> associated with the management of a company;</w:t>
      </w:r>
    </w:p>
    <w:p w14:paraId="00E9787E"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Analy</w:t>
      </w:r>
      <w:r w:rsidR="0015130F" w:rsidRPr="00D1610E">
        <w:rPr>
          <w:rFonts w:ascii="Times New Roman" w:hAnsi="Times New Roman"/>
          <w:kern w:val="2"/>
          <w:sz w:val="18"/>
          <w:szCs w:val="18"/>
          <w:lang w:val="en-GB" w:eastAsia="ar-SA"/>
        </w:rPr>
        <w:t>s</w:t>
      </w:r>
      <w:r w:rsidRPr="00D1610E">
        <w:rPr>
          <w:rFonts w:ascii="Times New Roman" w:hAnsi="Times New Roman"/>
          <w:kern w:val="2"/>
          <w:sz w:val="18"/>
          <w:szCs w:val="18"/>
          <w:lang w:val="en-GB" w:eastAsia="ar-SA"/>
        </w:rPr>
        <w:t>e the structure and functioning of a company and the environment in which it operates;</w:t>
      </w:r>
    </w:p>
    <w:p w14:paraId="17C03352"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Calculate the product cost and analy</w:t>
      </w:r>
      <w:r w:rsidR="0015130F" w:rsidRPr="00D1610E">
        <w:rPr>
          <w:rFonts w:ascii="Times New Roman" w:hAnsi="Times New Roman"/>
          <w:kern w:val="2"/>
          <w:sz w:val="18"/>
          <w:szCs w:val="18"/>
          <w:lang w:val="en-GB" w:eastAsia="ar-SA"/>
        </w:rPr>
        <w:t>s</w:t>
      </w:r>
      <w:r w:rsidRPr="00D1610E">
        <w:rPr>
          <w:rFonts w:ascii="Times New Roman" w:hAnsi="Times New Roman"/>
          <w:kern w:val="2"/>
          <w:sz w:val="18"/>
          <w:szCs w:val="18"/>
          <w:lang w:val="en-GB" w:eastAsia="ar-SA"/>
        </w:rPr>
        <w:t>e the relationships between costs, volumes and results (break-even);</w:t>
      </w:r>
    </w:p>
    <w:p w14:paraId="437D9773"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Set up the profitability analysis consistent with the decision-making context;</w:t>
      </w:r>
    </w:p>
    <w:p w14:paraId="4427E0C5"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Identify the stakeholders (stakeholders) of a company;</w:t>
      </w:r>
    </w:p>
    <w:p w14:paraId="48E6BA63" w14:textId="77777777" w:rsidR="005B141E"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Identify fundamental reasons that underpin the orientation towards social responsibility and sustainability in companies</w:t>
      </w:r>
    </w:p>
    <w:p w14:paraId="5689331E" w14:textId="77777777" w:rsidR="00120472" w:rsidRPr="00D1610E" w:rsidRDefault="005B141E"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Identify the conditions under which the assumption of social responsibility by a company can be configured not as an additional cost but as an investment capable of contributing to the competitiveness and development of the company itself.</w:t>
      </w:r>
    </w:p>
    <w:p w14:paraId="687AE6DA" w14:textId="77777777" w:rsidR="005B141E" w:rsidRPr="00D1610E" w:rsidRDefault="005B141E" w:rsidP="005B141E">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val="en-GB" w:eastAsia="ar-SA"/>
        </w:rPr>
      </w:pPr>
    </w:p>
    <w:p w14:paraId="4DF73B0C" w14:textId="77777777" w:rsidR="006030A6" w:rsidRPr="00D1610E"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COURSE CONTENT</w:t>
      </w:r>
    </w:p>
    <w:p w14:paraId="20A10CE2"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Introduction to the concepts of business, sustainability and sustainable development;</w:t>
      </w:r>
    </w:p>
    <w:p w14:paraId="5D78058E"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institutional structure and the economic combinations of the company;</w:t>
      </w:r>
    </w:p>
    <w:p w14:paraId="6079EF0D"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Sizing and extension choices, assets and organizational structure, human resources;</w:t>
      </w:r>
    </w:p>
    <w:p w14:paraId="40D4B717"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cost-effectiveness analysis;</w:t>
      </w:r>
    </w:p>
    <w:p w14:paraId="3B80C060"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generation of sustainable value through the triple bottom line;</w:t>
      </w:r>
    </w:p>
    <w:p w14:paraId="5561069B"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Cost management: terminology, concepts and classifications; cost analysis, cost and volume cost analysis, economic analysis for short-term decisions;</w:t>
      </w:r>
    </w:p>
    <w:p w14:paraId="06473916"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budget and the business plan;</w:t>
      </w:r>
    </w:p>
    <w:p w14:paraId="7565AD1F"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role of stakeholders in business management and evaluation;</w:t>
      </w:r>
    </w:p>
    <w:p w14:paraId="58AF7DF0"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Corporate social responsibility: characters, contents, internal and external dimension;</w:t>
      </w:r>
    </w:p>
    <w:p w14:paraId="5F7F4DCE" w14:textId="77777777" w:rsidR="006030A6"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new models of social entrepreneurship: innovative solutions for social change.</w:t>
      </w:r>
    </w:p>
    <w:p w14:paraId="31D8CE13" w14:textId="77777777" w:rsidR="006030A6" w:rsidRPr="00D1610E" w:rsidRDefault="006030A6" w:rsidP="00F55E9C">
      <w:pPr>
        <w:tabs>
          <w:tab w:val="left" w:pos="-142"/>
          <w:tab w:val="left" w:pos="9072"/>
        </w:tabs>
        <w:suppressAutoHyphens/>
        <w:spacing w:after="120" w:line="240" w:lineRule="auto"/>
        <w:ind w:right="28"/>
        <w:rPr>
          <w:rFonts w:ascii="Times New Roman" w:hAnsi="Times New Roman"/>
          <w:smallCaps/>
          <w:kern w:val="2"/>
          <w:sz w:val="18"/>
          <w:szCs w:val="18"/>
          <w:lang w:eastAsia="ar-SA"/>
        </w:rPr>
      </w:pPr>
      <w:r w:rsidRPr="00D1610E">
        <w:rPr>
          <w:rFonts w:ascii="Times New Roman" w:hAnsi="Times New Roman"/>
          <w:b/>
          <w:i/>
          <w:kern w:val="2"/>
          <w:sz w:val="18"/>
          <w:szCs w:val="18"/>
          <w:lang w:eastAsia="ar-SA"/>
        </w:rPr>
        <w:lastRenderedPageBreak/>
        <w:t>READING LIST</w:t>
      </w:r>
    </w:p>
    <w:p w14:paraId="71D90A14" w14:textId="0B30A256" w:rsidR="00781367" w:rsidRPr="00787155" w:rsidRDefault="001908DD"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bCs/>
          <w:kern w:val="2"/>
          <w:sz w:val="18"/>
          <w:szCs w:val="18"/>
          <w:lang w:eastAsia="ar-SA"/>
        </w:rPr>
      </w:pPr>
      <w:r>
        <w:rPr>
          <w:rFonts w:ascii="Times New Roman" w:hAnsi="Times New Roman"/>
          <w:bCs/>
          <w:kern w:val="2"/>
          <w:sz w:val="18"/>
          <w:szCs w:val="18"/>
          <w:lang w:eastAsia="ar-SA"/>
        </w:rPr>
        <w:t>Airoldi – Brunetti</w:t>
      </w:r>
      <w:r w:rsidR="00781367" w:rsidRPr="00787155">
        <w:rPr>
          <w:rFonts w:ascii="Times New Roman" w:hAnsi="Times New Roman"/>
          <w:bCs/>
          <w:kern w:val="2"/>
          <w:sz w:val="18"/>
          <w:szCs w:val="18"/>
          <w:lang w:eastAsia="ar-SA"/>
        </w:rPr>
        <w:t xml:space="preserve"> – Coda. Corso di economia aziendale. Il Mulino (2020)</w:t>
      </w:r>
    </w:p>
    <w:p w14:paraId="65667A81" w14:textId="6702CF56" w:rsidR="0015130F" w:rsidRPr="00787155"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bCs/>
          <w:kern w:val="2"/>
          <w:sz w:val="18"/>
          <w:szCs w:val="18"/>
          <w:lang w:eastAsia="ar-SA"/>
        </w:rPr>
      </w:pPr>
      <w:r w:rsidRPr="00787155">
        <w:rPr>
          <w:rFonts w:ascii="Times New Roman" w:hAnsi="Times New Roman"/>
          <w:bCs/>
          <w:kern w:val="2"/>
          <w:sz w:val="18"/>
          <w:szCs w:val="18"/>
          <w:lang w:eastAsia="ar-SA"/>
        </w:rPr>
        <w:t>Ballucchi, F - Furlotti, K. La responsabiltià sociale delle imprese. Giappichelli (2019)</w:t>
      </w:r>
    </w:p>
    <w:p w14:paraId="27768B45" w14:textId="77777777" w:rsidR="0015130F" w:rsidRPr="00787155"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US" w:eastAsia="ar-SA"/>
        </w:rPr>
      </w:pPr>
      <w:r w:rsidRPr="00787155">
        <w:rPr>
          <w:rFonts w:ascii="Times New Roman" w:hAnsi="Times New Roman"/>
          <w:bCs/>
          <w:kern w:val="2"/>
          <w:sz w:val="18"/>
          <w:szCs w:val="18"/>
          <w:lang w:val="en-US" w:eastAsia="ar-SA"/>
        </w:rPr>
        <w:t>Readings selected by the teacher. The materials inserted by the teacher on the</w:t>
      </w:r>
      <w:r w:rsidRPr="00787155">
        <w:rPr>
          <w:rFonts w:ascii="Times New Roman" w:hAnsi="Times New Roman"/>
          <w:kern w:val="2"/>
          <w:sz w:val="18"/>
          <w:szCs w:val="18"/>
          <w:lang w:val="en-US" w:eastAsia="ar-SA"/>
        </w:rPr>
        <w:t xml:space="preserve"> </w:t>
      </w:r>
      <w:r w:rsidR="00BB6F7E" w:rsidRPr="00787155">
        <w:rPr>
          <w:rFonts w:ascii="Times New Roman" w:hAnsi="Times New Roman"/>
          <w:kern w:val="2"/>
          <w:sz w:val="18"/>
          <w:szCs w:val="18"/>
          <w:lang w:val="en-US" w:eastAsia="ar-SA"/>
        </w:rPr>
        <w:t>B</w:t>
      </w:r>
      <w:r w:rsidRPr="00787155">
        <w:rPr>
          <w:rFonts w:ascii="Times New Roman" w:hAnsi="Times New Roman"/>
          <w:kern w:val="2"/>
          <w:sz w:val="18"/>
          <w:szCs w:val="18"/>
          <w:lang w:val="en-US" w:eastAsia="ar-SA"/>
        </w:rPr>
        <w:t>lackboard platform form an integral part of the course and must be considered as textbooks.</w:t>
      </w:r>
    </w:p>
    <w:p w14:paraId="09C998D5" w14:textId="77777777" w:rsidR="0015130F" w:rsidRPr="00787155" w:rsidRDefault="0015130F" w:rsidP="0015130F">
      <w:pPr>
        <w:tabs>
          <w:tab w:val="clear" w:pos="284"/>
          <w:tab w:val="left" w:pos="-142"/>
          <w:tab w:val="left" w:pos="426"/>
          <w:tab w:val="left" w:pos="9072"/>
        </w:tabs>
        <w:suppressAutoHyphens/>
        <w:spacing w:line="240" w:lineRule="auto"/>
        <w:ind w:left="426" w:right="27"/>
        <w:rPr>
          <w:rFonts w:ascii="Times New Roman" w:hAnsi="Times New Roman"/>
          <w:kern w:val="2"/>
          <w:sz w:val="18"/>
          <w:szCs w:val="18"/>
          <w:lang w:val="en-US" w:eastAsia="ar-SA"/>
        </w:rPr>
      </w:pPr>
    </w:p>
    <w:p w14:paraId="15F8D0CA" w14:textId="77777777" w:rsidR="007C66F0" w:rsidRPr="00787155" w:rsidRDefault="007C66F0" w:rsidP="007C66F0">
      <w:pPr>
        <w:pStyle w:val="Titolo1"/>
        <w:spacing w:before="0" w:line="240" w:lineRule="auto"/>
        <w:ind w:right="27"/>
        <w:jc w:val="both"/>
        <w:rPr>
          <w:rStyle w:val="a-size-large"/>
          <w:rFonts w:ascii="Times New Roman" w:eastAsiaTheme="majorEastAsia" w:hAnsi="Times New Roman"/>
          <w:b w:val="0"/>
          <w:smallCaps/>
          <w:color w:val="111111"/>
          <w:sz w:val="18"/>
          <w:szCs w:val="18"/>
          <w:lang w:val="en-US"/>
        </w:rPr>
      </w:pPr>
      <w:r w:rsidRPr="00787155">
        <w:rPr>
          <w:rFonts w:ascii="Times New Roman" w:hAnsi="Times New Roman"/>
          <w:b w:val="0"/>
          <w:noProof w:val="0"/>
          <w:sz w:val="18"/>
          <w:szCs w:val="18"/>
          <w:lang w:val="en-GB"/>
        </w:rPr>
        <w:t>Additional recommended textbook for further study and additional practice:</w:t>
      </w:r>
      <w:r w:rsidRPr="00787155">
        <w:rPr>
          <w:rStyle w:val="a-size-large"/>
          <w:rFonts w:ascii="Times New Roman" w:eastAsiaTheme="majorEastAsia" w:hAnsi="Times New Roman"/>
          <w:b w:val="0"/>
          <w:smallCaps/>
          <w:color w:val="111111"/>
          <w:sz w:val="18"/>
          <w:szCs w:val="18"/>
          <w:lang w:val="en-US"/>
        </w:rPr>
        <w:t xml:space="preserve"> </w:t>
      </w:r>
    </w:p>
    <w:p w14:paraId="056E8BB6"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787155">
        <w:rPr>
          <w:rFonts w:ascii="Times New Roman" w:hAnsi="Times New Roman"/>
          <w:kern w:val="2"/>
          <w:sz w:val="18"/>
          <w:szCs w:val="18"/>
          <w:lang w:eastAsia="ar-SA"/>
        </w:rPr>
        <w:t>P. Andrei, (a cura di) Introduzione</w:t>
      </w:r>
      <w:r w:rsidRPr="00D1610E">
        <w:rPr>
          <w:rFonts w:ascii="Times New Roman" w:hAnsi="Times New Roman"/>
          <w:kern w:val="2"/>
          <w:sz w:val="18"/>
          <w:szCs w:val="18"/>
          <w:lang w:eastAsia="ar-SA"/>
        </w:rPr>
        <w:t xml:space="preserve"> all’economia di Azienda, II edizione, Giappichelli, 2019</w:t>
      </w:r>
    </w:p>
    <w:p w14:paraId="7CF26CAD"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A. Arcari, Programmazione e controllo, McGraw-Hill, iii edizione, milano, 2019;</w:t>
      </w:r>
    </w:p>
    <w:p w14:paraId="7B402573"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M. Molteni, Responsabilità sociale e performance d’impresa, Vita &amp; Pensiero, Milano, 2004.</w:t>
      </w:r>
    </w:p>
    <w:p w14:paraId="66E9AFAD" w14:textId="77777777" w:rsidR="0015130F" w:rsidRPr="00D1610E" w:rsidRDefault="0015130F"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F. Perrini (a cura di), Social entrepreneurship, Egea, Milano, 2007.</w:t>
      </w:r>
    </w:p>
    <w:p w14:paraId="2E056647" w14:textId="77777777" w:rsidR="004E518C" w:rsidRPr="00781367" w:rsidRDefault="004E518C" w:rsidP="00F55E9C">
      <w:pPr>
        <w:tabs>
          <w:tab w:val="left" w:pos="-142"/>
          <w:tab w:val="left" w:pos="9072"/>
        </w:tabs>
        <w:suppressAutoHyphens/>
        <w:spacing w:line="240" w:lineRule="auto"/>
        <w:ind w:right="27"/>
        <w:rPr>
          <w:rFonts w:ascii="Times New Roman" w:hAnsi="Times New Roman"/>
          <w:kern w:val="2"/>
          <w:sz w:val="18"/>
          <w:szCs w:val="18"/>
          <w:lang w:eastAsia="ar-SA"/>
        </w:rPr>
      </w:pPr>
    </w:p>
    <w:p w14:paraId="203170E3" w14:textId="77777777" w:rsidR="006030A6" w:rsidRPr="00D1610E"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TEACHING METHOD</w:t>
      </w:r>
    </w:p>
    <w:p w14:paraId="23C465B2" w14:textId="77777777" w:rsidR="009510B5" w:rsidRPr="00D1610E" w:rsidRDefault="0015130F" w:rsidP="00F55E9C">
      <w:pPr>
        <w:tabs>
          <w:tab w:val="left" w:pos="-142"/>
          <w:tab w:val="left" w:pos="9072"/>
        </w:tabs>
        <w:suppressAutoHyphens/>
        <w:spacing w:line="240" w:lineRule="auto"/>
        <w:ind w:right="27"/>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 xml:space="preserve">The program will be developed through theoretical framework lessons, business case analysis and discussions. The different teaching methods have the common goal of developing in the student the ability to analyse and interpret the implications related to the introduction of social responsibility logics in business strategies. The </w:t>
      </w:r>
      <w:r w:rsidR="007C66F0" w:rsidRPr="00D1610E">
        <w:rPr>
          <w:rFonts w:ascii="Times New Roman" w:hAnsi="Times New Roman"/>
          <w:kern w:val="2"/>
          <w:sz w:val="18"/>
          <w:szCs w:val="18"/>
          <w:lang w:val="en-GB" w:eastAsia="ar-SA"/>
        </w:rPr>
        <w:t>module</w:t>
      </w:r>
      <w:r w:rsidRPr="00D1610E">
        <w:rPr>
          <w:rFonts w:ascii="Times New Roman" w:hAnsi="Times New Roman"/>
          <w:kern w:val="2"/>
          <w:sz w:val="18"/>
          <w:szCs w:val="18"/>
          <w:lang w:val="en-GB" w:eastAsia="ar-SA"/>
        </w:rPr>
        <w:t xml:space="preserve"> uses the Blackboard platform on which further teaching material will be made available.</w:t>
      </w:r>
    </w:p>
    <w:p w14:paraId="407E1E1A" w14:textId="77777777" w:rsidR="004E518C" w:rsidRPr="00D1610E" w:rsidRDefault="004E518C" w:rsidP="00F55E9C">
      <w:pPr>
        <w:tabs>
          <w:tab w:val="left" w:pos="-142"/>
          <w:tab w:val="left" w:pos="9072"/>
        </w:tabs>
        <w:suppressAutoHyphens/>
        <w:spacing w:line="240" w:lineRule="auto"/>
        <w:ind w:right="27"/>
        <w:rPr>
          <w:rFonts w:ascii="Times New Roman" w:hAnsi="Times New Roman"/>
          <w:kern w:val="2"/>
          <w:sz w:val="18"/>
          <w:szCs w:val="18"/>
          <w:lang w:val="en-US" w:eastAsia="ar-SA"/>
        </w:rPr>
      </w:pPr>
    </w:p>
    <w:p w14:paraId="4155AD60" w14:textId="77777777" w:rsidR="006030A6" w:rsidRPr="00D1610E" w:rsidRDefault="006030A6" w:rsidP="00F55E9C">
      <w:pPr>
        <w:tabs>
          <w:tab w:val="left" w:pos="-142"/>
          <w:tab w:val="left" w:pos="9072"/>
        </w:tabs>
        <w:suppressAutoHyphens/>
        <w:spacing w:after="120" w:line="240" w:lineRule="auto"/>
        <w:ind w:right="28"/>
        <w:rPr>
          <w:rFonts w:ascii="Times New Roman" w:hAnsi="Times New Roman"/>
          <w:kern w:val="2"/>
          <w:sz w:val="18"/>
          <w:szCs w:val="18"/>
          <w:lang w:val="en-GB" w:eastAsia="ar-SA"/>
        </w:rPr>
      </w:pPr>
      <w:r w:rsidRPr="00D1610E">
        <w:rPr>
          <w:rFonts w:ascii="Times New Roman" w:hAnsi="Times New Roman"/>
          <w:b/>
          <w:i/>
          <w:kern w:val="2"/>
          <w:sz w:val="18"/>
          <w:szCs w:val="18"/>
          <w:lang w:val="en-GB" w:eastAsia="ar-SA"/>
        </w:rPr>
        <w:t>ASSESSMENT METHOD</w:t>
      </w:r>
      <w:r w:rsidR="00703A74" w:rsidRPr="00D1610E">
        <w:rPr>
          <w:rFonts w:ascii="Times New Roman" w:hAnsi="Times New Roman"/>
          <w:b/>
          <w:i/>
          <w:kern w:val="2"/>
          <w:sz w:val="18"/>
          <w:szCs w:val="18"/>
          <w:lang w:val="en-GB" w:eastAsia="ar-SA"/>
        </w:rPr>
        <w:t xml:space="preserve"> AND CRITERIA</w:t>
      </w:r>
    </w:p>
    <w:p w14:paraId="0EE9253A" w14:textId="77777777" w:rsidR="000E0AB9" w:rsidRPr="00D1610E" w:rsidRDefault="000E0AB9" w:rsidP="00F55E9C">
      <w:pPr>
        <w:tabs>
          <w:tab w:val="left" w:pos="-142"/>
          <w:tab w:val="left" w:pos="9072"/>
        </w:tabs>
        <w:suppressAutoHyphens/>
        <w:spacing w:line="240" w:lineRule="auto"/>
        <w:ind w:right="27"/>
        <w:rPr>
          <w:rFonts w:ascii="Times New Roman" w:hAnsi="Times New Roman"/>
          <w:sz w:val="18"/>
          <w:szCs w:val="18"/>
          <w:lang w:val="en-GB"/>
        </w:rPr>
      </w:pPr>
      <w:r w:rsidRPr="00D1610E">
        <w:rPr>
          <w:rFonts w:ascii="Times New Roman" w:hAnsi="Times New Roman"/>
          <w:sz w:val="18"/>
          <w:szCs w:val="18"/>
          <w:lang w:val="en-GB"/>
        </w:rPr>
        <w:t>For all students, the exam mode provides for the conduct of a compulsory written test that can be carried out in the interval of lessons dedicated to intermediate tests or in official teaching appeals at the end of the first semester (100% of the assessment). The test includes 4 open questions relating to the topics covered in the course. The evaluation of the test is in 30/30. The evaluation criteria of the module are: correct use of the concepts introduced in the course, ability to comment information relating to the decision-making dynamics of companies, in particular with reference to cost analysis, ability to decline the concepts learned in the analysis of social responsibility and sustainability initiatives. The overall evaluation of the course derives from the average of the evaluations achieved in the tests relating to the two modules.</w:t>
      </w:r>
    </w:p>
    <w:p w14:paraId="2145E462" w14:textId="77777777" w:rsidR="006030A6" w:rsidRPr="00D1610E" w:rsidRDefault="006030A6" w:rsidP="00F55E9C">
      <w:pPr>
        <w:pStyle w:val="Titolo4"/>
        <w:spacing w:after="120" w:line="240" w:lineRule="auto"/>
        <w:rPr>
          <w:rFonts w:ascii="Times New Roman" w:hAnsi="Times New Roman" w:cs="Times New Roman"/>
          <w:color w:val="auto"/>
          <w:sz w:val="18"/>
          <w:szCs w:val="18"/>
          <w:lang w:val="en-GB"/>
        </w:rPr>
      </w:pPr>
      <w:r w:rsidRPr="00D1610E">
        <w:rPr>
          <w:rFonts w:ascii="Times New Roman" w:hAnsi="Times New Roman" w:cs="Times New Roman"/>
          <w:iCs w:val="0"/>
          <w:color w:val="auto"/>
          <w:sz w:val="18"/>
          <w:szCs w:val="18"/>
          <w:lang w:val="en-GB"/>
        </w:rPr>
        <w:t>NOTES</w:t>
      </w:r>
      <w:r w:rsidR="00C72839" w:rsidRPr="00D1610E">
        <w:rPr>
          <w:rFonts w:ascii="Times New Roman" w:hAnsi="Times New Roman" w:cs="Times New Roman"/>
          <w:iCs w:val="0"/>
          <w:color w:val="auto"/>
          <w:sz w:val="18"/>
          <w:szCs w:val="18"/>
          <w:lang w:val="en-GB"/>
        </w:rPr>
        <w:t xml:space="preserve"> AND PREREQUISITES</w:t>
      </w:r>
    </w:p>
    <w:p w14:paraId="115753EE" w14:textId="77777777" w:rsidR="006030A6" w:rsidRPr="00D1610E" w:rsidRDefault="000E0AB9" w:rsidP="00F55E9C">
      <w:pPr>
        <w:tabs>
          <w:tab w:val="left" w:pos="-142"/>
          <w:tab w:val="left" w:pos="9072"/>
        </w:tabs>
        <w:suppressAutoHyphens/>
        <w:spacing w:after="120" w:line="240" w:lineRule="auto"/>
        <w:ind w:right="28"/>
        <w:rPr>
          <w:rStyle w:val="Collegamentoipertestuale"/>
          <w:rFonts w:ascii="Times New Roman" w:hAnsi="Times New Roman"/>
          <w:sz w:val="18"/>
          <w:szCs w:val="18"/>
          <w:lang w:val="en-US"/>
        </w:rPr>
      </w:pPr>
      <w:r w:rsidRPr="00D1610E">
        <w:rPr>
          <w:rFonts w:ascii="Times New Roman" w:hAnsi="Times New Roman"/>
          <w:sz w:val="18"/>
          <w:szCs w:val="18"/>
          <w:lang w:val="en-GB"/>
        </w:rPr>
        <w:t>No prerequisites of skills are required for successful participation in teaching</w:t>
      </w:r>
      <w:r w:rsidR="00C72839" w:rsidRPr="00D1610E">
        <w:rPr>
          <w:rFonts w:ascii="Times New Roman" w:hAnsi="Times New Roman"/>
          <w:sz w:val="18"/>
          <w:szCs w:val="18"/>
          <w:lang w:val="en-GB"/>
        </w:rPr>
        <w:t>.</w:t>
      </w:r>
      <w:r w:rsidR="00C035E2" w:rsidRPr="00D1610E">
        <w:rPr>
          <w:rFonts w:ascii="Times New Roman" w:hAnsi="Times New Roman"/>
          <w:sz w:val="18"/>
          <w:szCs w:val="18"/>
          <w:lang w:val="en-GB"/>
        </w:rPr>
        <w:t xml:space="preserve"> </w:t>
      </w:r>
      <w:r w:rsidR="006030A6" w:rsidRPr="00D1610E">
        <w:rPr>
          <w:rFonts w:ascii="Times New Roman" w:hAnsi="Times New Roman"/>
          <w:noProof/>
          <w:sz w:val="18"/>
          <w:szCs w:val="18"/>
          <w:lang w:val="en-US"/>
        </w:rPr>
        <w:t>Information on office hours available on the teacher's personal page at</w:t>
      </w:r>
      <w:r w:rsidR="00C035E2" w:rsidRPr="00D1610E">
        <w:rPr>
          <w:rFonts w:ascii="Times New Roman" w:hAnsi="Times New Roman"/>
          <w:noProof/>
          <w:sz w:val="18"/>
          <w:szCs w:val="18"/>
          <w:lang w:val="en-US"/>
        </w:rPr>
        <w:t>:</w:t>
      </w:r>
      <w:r w:rsidR="006030A6" w:rsidRPr="00D1610E">
        <w:rPr>
          <w:rFonts w:ascii="Times New Roman" w:hAnsi="Times New Roman"/>
          <w:noProof/>
          <w:sz w:val="18"/>
          <w:szCs w:val="18"/>
          <w:lang w:val="en-US"/>
        </w:rPr>
        <w:t xml:space="preserve"> </w:t>
      </w:r>
      <w:hyperlink r:id="rId8" w:history="1">
        <w:r w:rsidR="006030A6" w:rsidRPr="00D1610E">
          <w:rPr>
            <w:rStyle w:val="Collegamentoipertestuale"/>
            <w:rFonts w:ascii="Times New Roman" w:hAnsi="Times New Roman"/>
            <w:sz w:val="18"/>
            <w:szCs w:val="18"/>
            <w:lang w:val="en-US"/>
          </w:rPr>
          <w:t>http://docenti.unicatt.it/</w:t>
        </w:r>
      </w:hyperlink>
    </w:p>
    <w:p w14:paraId="5E3B7A25" w14:textId="77777777" w:rsidR="00BB6F7E" w:rsidRDefault="00BB6F7E">
      <w:pPr>
        <w:tabs>
          <w:tab w:val="clear" w:pos="284"/>
        </w:tabs>
        <w:spacing w:line="240" w:lineRule="auto"/>
        <w:jc w:val="left"/>
        <w:rPr>
          <w:rFonts w:ascii="Times New Roman" w:hAnsi="Times New Roman"/>
          <w:b/>
          <w:lang w:val="en-GB"/>
        </w:rPr>
      </w:pPr>
      <w:r>
        <w:rPr>
          <w:rFonts w:ascii="Times New Roman" w:hAnsi="Times New Roman"/>
          <w:lang w:val="en-GB"/>
        </w:rPr>
        <w:br w:type="page"/>
      </w:r>
    </w:p>
    <w:p w14:paraId="2AC9CF7C" w14:textId="77777777" w:rsidR="00C035E2" w:rsidRPr="00D1610E" w:rsidRDefault="004B709F" w:rsidP="00F55E9C">
      <w:pPr>
        <w:pStyle w:val="Titolo1"/>
        <w:spacing w:before="360" w:line="240" w:lineRule="auto"/>
        <w:rPr>
          <w:rFonts w:ascii="Times New Roman" w:hAnsi="Times New Roman"/>
          <w:noProof w:val="0"/>
          <w:lang w:val="en-GB"/>
        </w:rPr>
      </w:pPr>
      <w:r w:rsidRPr="00D1610E">
        <w:rPr>
          <w:rFonts w:ascii="Times New Roman" w:hAnsi="Times New Roman"/>
          <w:noProof w:val="0"/>
          <w:lang w:val="en-GB"/>
        </w:rPr>
        <w:lastRenderedPageBreak/>
        <w:t>Module II</w:t>
      </w:r>
      <w:r w:rsidR="00C46E0D" w:rsidRPr="00D1610E">
        <w:rPr>
          <w:rFonts w:ascii="Times New Roman" w:hAnsi="Times New Roman"/>
          <w:noProof w:val="0"/>
          <w:lang w:val="en-GB"/>
        </w:rPr>
        <w:t xml:space="preserve">: </w:t>
      </w:r>
      <w:r w:rsidR="000D7EDA" w:rsidRPr="00D1610E">
        <w:rPr>
          <w:rFonts w:ascii="Times New Roman" w:hAnsi="Times New Roman"/>
          <w:noProof w:val="0"/>
          <w:lang w:val="en-GB"/>
        </w:rPr>
        <w:t>Integrated reporting</w:t>
      </w:r>
    </w:p>
    <w:p w14:paraId="24153717" w14:textId="77777777" w:rsidR="006030A6" w:rsidRPr="00D1610E" w:rsidRDefault="006030A6" w:rsidP="00F55E9C">
      <w:pPr>
        <w:spacing w:before="240" w:after="120" w:line="240" w:lineRule="auto"/>
        <w:rPr>
          <w:rFonts w:ascii="Times New Roman" w:hAnsi="Times New Roman"/>
          <w:b/>
          <w:sz w:val="18"/>
          <w:szCs w:val="18"/>
          <w:lang w:val="en-GB"/>
        </w:rPr>
      </w:pPr>
      <w:r w:rsidRPr="00D1610E">
        <w:rPr>
          <w:rFonts w:ascii="Times New Roman" w:hAnsi="Times New Roman"/>
          <w:b/>
          <w:i/>
          <w:sz w:val="18"/>
          <w:szCs w:val="18"/>
          <w:lang w:val="en-GB"/>
        </w:rPr>
        <w:t xml:space="preserve">COURSE AIMS </w:t>
      </w:r>
      <w:r w:rsidR="00C72839" w:rsidRPr="00D1610E">
        <w:rPr>
          <w:rFonts w:ascii="Times New Roman" w:hAnsi="Times New Roman"/>
          <w:b/>
          <w:i/>
          <w:sz w:val="18"/>
          <w:szCs w:val="18"/>
          <w:lang w:val="en-GB"/>
        </w:rPr>
        <w:t>AND INTENDEND LEARNING OUTCOMES</w:t>
      </w:r>
    </w:p>
    <w:p w14:paraId="5CEF4180" w14:textId="2F793EEA" w:rsidR="000E0AB9" w:rsidRPr="00D1610E" w:rsidRDefault="000E0AB9" w:rsidP="00F55E9C">
      <w:pPr>
        <w:spacing w:line="240" w:lineRule="auto"/>
        <w:rPr>
          <w:rFonts w:ascii="Times New Roman" w:hAnsi="Times New Roman"/>
          <w:sz w:val="18"/>
          <w:szCs w:val="18"/>
          <w:lang w:val="en-GB"/>
        </w:rPr>
      </w:pPr>
      <w:r w:rsidRPr="00D1610E">
        <w:rPr>
          <w:rFonts w:ascii="Times New Roman" w:hAnsi="Times New Roman"/>
          <w:sz w:val="18"/>
          <w:szCs w:val="18"/>
          <w:lang w:val="en-GB"/>
        </w:rPr>
        <w:t xml:space="preserve">The course aims to offer competencies for reading and interpreting the management results of companies through the financial statements, the main indicators used in economic and financial communication and </w:t>
      </w:r>
      <w:r w:rsidR="00271EDE">
        <w:rPr>
          <w:rFonts w:ascii="Times New Roman" w:hAnsi="Times New Roman"/>
          <w:sz w:val="18"/>
          <w:szCs w:val="18"/>
          <w:lang w:val="en-GB"/>
        </w:rPr>
        <w:t>non-financial</w:t>
      </w:r>
      <w:r w:rsidRPr="00D1610E">
        <w:rPr>
          <w:rFonts w:ascii="Times New Roman" w:hAnsi="Times New Roman"/>
          <w:sz w:val="18"/>
          <w:szCs w:val="18"/>
          <w:lang w:val="en-GB"/>
        </w:rPr>
        <w:t xml:space="preserve"> </w:t>
      </w:r>
      <w:r w:rsidR="00271EDE">
        <w:rPr>
          <w:rFonts w:ascii="Times New Roman" w:hAnsi="Times New Roman"/>
          <w:sz w:val="18"/>
          <w:szCs w:val="18"/>
          <w:lang w:val="en-GB"/>
        </w:rPr>
        <w:t>statement</w:t>
      </w:r>
      <w:r w:rsidRPr="00D1610E">
        <w:rPr>
          <w:rFonts w:ascii="Times New Roman" w:hAnsi="Times New Roman"/>
          <w:sz w:val="18"/>
          <w:szCs w:val="18"/>
          <w:lang w:val="en-GB"/>
        </w:rPr>
        <w:t xml:space="preserve"> tools. After presenting the fundamentals and logic of the accounting system, the course deepens the systemic examination of the managerial tools useful in the integrated reporting to stakeholders of the economic, environmental and social results. The course, starting from the main reclassifications of the financial statements, offers an interpretative scheme of the system of indexes and flows widespread in practice and widely used in the analysis of competition and creditworthiness as well as a recognition of the main standards in use in the development of social, environmental and of sustainability.</w:t>
      </w:r>
    </w:p>
    <w:p w14:paraId="61B0A4AA" w14:textId="77777777" w:rsidR="000E0AB9" w:rsidRPr="00D1610E" w:rsidRDefault="000E0AB9" w:rsidP="00F55E9C">
      <w:pPr>
        <w:spacing w:line="240" w:lineRule="auto"/>
        <w:rPr>
          <w:rFonts w:ascii="Times New Roman" w:hAnsi="Times New Roman"/>
          <w:sz w:val="18"/>
          <w:szCs w:val="18"/>
          <w:lang w:val="en-GB"/>
        </w:rPr>
      </w:pPr>
    </w:p>
    <w:p w14:paraId="50A9ED71" w14:textId="77777777" w:rsidR="006030A6" w:rsidRPr="00D1610E" w:rsidRDefault="006030A6" w:rsidP="00F55E9C">
      <w:pPr>
        <w:spacing w:line="240" w:lineRule="auto"/>
        <w:rPr>
          <w:rFonts w:ascii="Times New Roman" w:hAnsi="Times New Roman"/>
          <w:sz w:val="18"/>
          <w:szCs w:val="18"/>
          <w:lang w:val="en-GB"/>
        </w:rPr>
      </w:pPr>
      <w:r w:rsidRPr="00D1610E">
        <w:rPr>
          <w:rFonts w:ascii="Times New Roman" w:hAnsi="Times New Roman"/>
          <w:sz w:val="18"/>
          <w:szCs w:val="18"/>
          <w:lang w:val="en-GB"/>
        </w:rPr>
        <w:t>At the end of the course, the students should be able to:</w:t>
      </w:r>
    </w:p>
    <w:p w14:paraId="2206E02B" w14:textId="77777777" w:rsidR="000E0AB9" w:rsidRPr="00D1610E" w:rsidRDefault="000E0AB9"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Know the evaluation criteria defined by the national accounting principles and some criteria contained in the IAS / IFRS international accounting principles;</w:t>
      </w:r>
    </w:p>
    <w:p w14:paraId="7CD29C79" w14:textId="3C7667B0" w:rsidR="000E0AB9" w:rsidRPr="00D1610E" w:rsidRDefault="000E0AB9"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Read and interpret the economic, financial and equity dynamics related to business management, starting from the data contained in the financial statements;</w:t>
      </w:r>
    </w:p>
    <w:p w14:paraId="36C9B968" w14:textId="5473D212" w:rsidR="000E0AB9" w:rsidRPr="00D1610E" w:rsidRDefault="000E0AB9"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Read and interpret the non-financial results and evaluate the reliability and completeness of the reporting documents of business performance.</w:t>
      </w:r>
    </w:p>
    <w:p w14:paraId="73DA9089" w14:textId="77777777" w:rsidR="006030A6" w:rsidRPr="00D1610E" w:rsidRDefault="006030A6" w:rsidP="00F55E9C">
      <w:pPr>
        <w:spacing w:before="240" w:after="120" w:line="240" w:lineRule="auto"/>
        <w:rPr>
          <w:rFonts w:ascii="Times New Roman" w:hAnsi="Times New Roman"/>
          <w:b/>
          <w:sz w:val="18"/>
          <w:szCs w:val="18"/>
          <w:lang w:val="en-GB"/>
        </w:rPr>
      </w:pPr>
      <w:r w:rsidRPr="00D1610E">
        <w:rPr>
          <w:rFonts w:ascii="Times New Roman" w:hAnsi="Times New Roman"/>
          <w:b/>
          <w:i/>
          <w:sz w:val="18"/>
          <w:szCs w:val="18"/>
          <w:lang w:val="en-GB"/>
        </w:rPr>
        <w:t>COURSE CONTENT</w:t>
      </w:r>
    </w:p>
    <w:p w14:paraId="22E7DC18"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financial statements in the corporate information system;</w:t>
      </w:r>
    </w:p>
    <w:p w14:paraId="33F3562B"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Balance sheet assets: economic values and their significance in determining the results obtained and the company's balance;</w:t>
      </w:r>
    </w:p>
    <w:p w14:paraId="193D741C"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reclassifications of the balance sheet according to financial criteria and according to operating criteria;</w:t>
      </w:r>
    </w:p>
    <w:p w14:paraId="659C0A65"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main reclassifications of the income statement and the ability to represent the various contributions of management to the formation of results;</w:t>
      </w:r>
    </w:p>
    <w:p w14:paraId="2E47B5AF"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Determination and interpretation of the main indicators of corporate performance;</w:t>
      </w:r>
    </w:p>
    <w:p w14:paraId="1011D11F" w14:textId="6937DA5D"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Measurement of non-financial perf</w:t>
      </w:r>
      <w:r w:rsidR="001908DD">
        <w:rPr>
          <w:rFonts w:ascii="Times New Roman" w:hAnsi="Times New Roman"/>
          <w:kern w:val="2"/>
          <w:sz w:val="18"/>
          <w:szCs w:val="18"/>
          <w:lang w:val="en-GB" w:eastAsia="ar-SA"/>
        </w:rPr>
        <w:t>ormance.</w:t>
      </w:r>
    </w:p>
    <w:p w14:paraId="36A262E9"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GB" w:eastAsia="ar-SA"/>
        </w:rPr>
      </w:pPr>
      <w:r w:rsidRPr="00D1610E">
        <w:rPr>
          <w:rFonts w:ascii="Times New Roman" w:hAnsi="Times New Roman"/>
          <w:kern w:val="2"/>
          <w:sz w:val="18"/>
          <w:szCs w:val="18"/>
          <w:lang w:val="en-GB" w:eastAsia="ar-SA"/>
        </w:rPr>
        <w:t>The Global Reporting Initiative and the International Integrated Reporting Framework.</w:t>
      </w:r>
    </w:p>
    <w:p w14:paraId="0EB968C1" w14:textId="77777777" w:rsidR="006030A6" w:rsidRPr="00D1610E" w:rsidRDefault="006030A6" w:rsidP="00F55E9C">
      <w:pPr>
        <w:keepNext/>
        <w:spacing w:before="240" w:after="120" w:line="240" w:lineRule="auto"/>
        <w:rPr>
          <w:rFonts w:ascii="Times New Roman" w:hAnsi="Times New Roman"/>
          <w:b/>
          <w:sz w:val="18"/>
          <w:szCs w:val="18"/>
        </w:rPr>
      </w:pPr>
      <w:r w:rsidRPr="00D1610E">
        <w:rPr>
          <w:rFonts w:ascii="Times New Roman" w:hAnsi="Times New Roman"/>
          <w:b/>
          <w:i/>
          <w:sz w:val="18"/>
          <w:szCs w:val="18"/>
        </w:rPr>
        <w:t>READING LIST</w:t>
      </w:r>
    </w:p>
    <w:p w14:paraId="79F45AFF" w14:textId="45A385AC"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Andrei, P. e Fellegara, A.M. Contabilità generale e bilancio d'impresa (20</w:t>
      </w:r>
      <w:r w:rsidR="0095041F">
        <w:rPr>
          <w:rFonts w:ascii="Times New Roman" w:hAnsi="Times New Roman"/>
          <w:kern w:val="2"/>
          <w:sz w:val="18"/>
          <w:szCs w:val="18"/>
          <w:lang w:eastAsia="ar-SA"/>
        </w:rPr>
        <w:t>22</w:t>
      </w:r>
      <w:r w:rsidRPr="00D1610E">
        <w:rPr>
          <w:rFonts w:ascii="Times New Roman" w:hAnsi="Times New Roman"/>
          <w:kern w:val="2"/>
          <w:sz w:val="18"/>
          <w:szCs w:val="18"/>
          <w:lang w:eastAsia="ar-SA"/>
        </w:rPr>
        <w:t>)</w:t>
      </w:r>
    </w:p>
    <w:p w14:paraId="2E53F341" w14:textId="77777777" w:rsidR="007C66F0" w:rsidRPr="00781367"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val="en-US" w:eastAsia="ar-SA"/>
        </w:rPr>
      </w:pPr>
      <w:r w:rsidRPr="00781367">
        <w:rPr>
          <w:rFonts w:ascii="Times New Roman" w:hAnsi="Times New Roman"/>
          <w:kern w:val="2"/>
          <w:sz w:val="18"/>
          <w:szCs w:val="18"/>
          <w:lang w:val="en-US" w:eastAsia="ar-SA"/>
        </w:rPr>
        <w:t xml:space="preserve">Readings selected by the teacher. The materials inserted by the teacher on the </w:t>
      </w:r>
      <w:r w:rsidR="00BB6F7E" w:rsidRPr="00781367">
        <w:rPr>
          <w:rFonts w:ascii="Times New Roman" w:hAnsi="Times New Roman"/>
          <w:kern w:val="2"/>
          <w:sz w:val="18"/>
          <w:szCs w:val="18"/>
          <w:lang w:val="en-US" w:eastAsia="ar-SA"/>
        </w:rPr>
        <w:t>B</w:t>
      </w:r>
      <w:r w:rsidRPr="00781367">
        <w:rPr>
          <w:rFonts w:ascii="Times New Roman" w:hAnsi="Times New Roman"/>
          <w:kern w:val="2"/>
          <w:sz w:val="18"/>
          <w:szCs w:val="18"/>
          <w:lang w:val="en-US" w:eastAsia="ar-SA"/>
        </w:rPr>
        <w:t>lackboard platform form an integral part of the course and must be considered as textbooks.</w:t>
      </w:r>
    </w:p>
    <w:p w14:paraId="65A7DFF3" w14:textId="77777777" w:rsidR="007C66F0" w:rsidRPr="00D1610E" w:rsidRDefault="007C66F0" w:rsidP="007C66F0">
      <w:pPr>
        <w:pStyle w:val="Titolo1"/>
        <w:spacing w:before="0" w:line="240" w:lineRule="auto"/>
        <w:ind w:right="27"/>
        <w:jc w:val="both"/>
        <w:rPr>
          <w:rStyle w:val="a-size-large"/>
          <w:rFonts w:ascii="Times New Roman" w:eastAsiaTheme="majorEastAsia" w:hAnsi="Times New Roman"/>
          <w:b w:val="0"/>
          <w:smallCaps/>
          <w:color w:val="111111"/>
          <w:sz w:val="18"/>
          <w:szCs w:val="18"/>
          <w:lang w:val="en-US"/>
        </w:rPr>
      </w:pPr>
      <w:r w:rsidRPr="00D1610E">
        <w:rPr>
          <w:rFonts w:ascii="Times New Roman" w:hAnsi="Times New Roman"/>
          <w:b w:val="0"/>
          <w:noProof w:val="0"/>
          <w:sz w:val="18"/>
          <w:szCs w:val="18"/>
          <w:lang w:val="en-GB"/>
        </w:rPr>
        <w:t>Additional recommended textbook for further study and additional practice:</w:t>
      </w:r>
      <w:r w:rsidRPr="00D1610E">
        <w:rPr>
          <w:rStyle w:val="a-size-large"/>
          <w:rFonts w:ascii="Times New Roman" w:eastAsiaTheme="majorEastAsia" w:hAnsi="Times New Roman"/>
          <w:b w:val="0"/>
          <w:smallCaps/>
          <w:color w:val="111111"/>
          <w:sz w:val="18"/>
          <w:szCs w:val="18"/>
          <w:lang w:val="en-US"/>
        </w:rPr>
        <w:t xml:space="preserve"> </w:t>
      </w:r>
    </w:p>
    <w:p w14:paraId="74475739"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Ballucchi, F - Furlotti, K. La responsabiltià sociale delle imprese. Giappichelli (2019)</w:t>
      </w:r>
    </w:p>
    <w:p w14:paraId="6FEA1FC3" w14:textId="77777777" w:rsidR="007C66F0" w:rsidRPr="00D1610E"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Global Reporting Initiative – GRI 101: Principi di rendicontazione (disponibili on line)</w:t>
      </w:r>
    </w:p>
    <w:p w14:paraId="03D17800" w14:textId="2D4BDE71" w:rsidR="007C66F0" w:rsidRDefault="007C66F0" w:rsidP="00BB6F7E">
      <w:pPr>
        <w:numPr>
          <w:ilvl w:val="0"/>
          <w:numId w:val="30"/>
        </w:numPr>
        <w:tabs>
          <w:tab w:val="clear" w:pos="284"/>
          <w:tab w:val="left" w:pos="-142"/>
          <w:tab w:val="left" w:pos="426"/>
          <w:tab w:val="left" w:pos="9072"/>
        </w:tabs>
        <w:suppressAutoHyphens/>
        <w:spacing w:line="276" w:lineRule="auto"/>
        <w:ind w:left="426" w:right="27" w:hanging="284"/>
        <w:rPr>
          <w:rFonts w:ascii="Times New Roman" w:hAnsi="Times New Roman"/>
          <w:kern w:val="2"/>
          <w:sz w:val="18"/>
          <w:szCs w:val="18"/>
          <w:lang w:eastAsia="ar-SA"/>
        </w:rPr>
      </w:pPr>
      <w:r w:rsidRPr="00D1610E">
        <w:rPr>
          <w:rFonts w:ascii="Times New Roman" w:hAnsi="Times New Roman"/>
          <w:kern w:val="2"/>
          <w:sz w:val="18"/>
          <w:szCs w:val="18"/>
          <w:lang w:eastAsia="ar-SA"/>
        </w:rPr>
        <w:t>International Integrated Reporting – IR – Il framework internazionale (disponibile on line)</w:t>
      </w:r>
      <w:r w:rsidR="00BB6F7E">
        <w:rPr>
          <w:rFonts w:ascii="Times New Roman" w:hAnsi="Times New Roman"/>
          <w:kern w:val="2"/>
          <w:sz w:val="18"/>
          <w:szCs w:val="18"/>
          <w:lang w:eastAsia="ar-SA"/>
        </w:rPr>
        <w:t>.</w:t>
      </w:r>
    </w:p>
    <w:p w14:paraId="52A16F6A" w14:textId="25ABCA4B" w:rsidR="0095041F" w:rsidRDefault="0095041F" w:rsidP="0095041F">
      <w:pPr>
        <w:tabs>
          <w:tab w:val="clear" w:pos="284"/>
          <w:tab w:val="left" w:pos="-142"/>
          <w:tab w:val="left" w:pos="426"/>
          <w:tab w:val="left" w:pos="9072"/>
        </w:tabs>
        <w:suppressAutoHyphens/>
        <w:spacing w:line="276" w:lineRule="auto"/>
        <w:ind w:right="27"/>
        <w:rPr>
          <w:rFonts w:ascii="Times New Roman" w:hAnsi="Times New Roman"/>
          <w:kern w:val="2"/>
          <w:sz w:val="18"/>
          <w:szCs w:val="18"/>
          <w:lang w:eastAsia="ar-SA"/>
        </w:rPr>
      </w:pPr>
    </w:p>
    <w:p w14:paraId="4A7C5A97" w14:textId="77777777" w:rsidR="004D19AE" w:rsidRPr="00D1610E" w:rsidRDefault="004D19AE" w:rsidP="0095041F">
      <w:pPr>
        <w:tabs>
          <w:tab w:val="clear" w:pos="284"/>
          <w:tab w:val="left" w:pos="-142"/>
          <w:tab w:val="left" w:pos="426"/>
          <w:tab w:val="left" w:pos="9072"/>
        </w:tabs>
        <w:suppressAutoHyphens/>
        <w:spacing w:line="276" w:lineRule="auto"/>
        <w:ind w:right="27"/>
        <w:rPr>
          <w:rFonts w:ascii="Times New Roman" w:hAnsi="Times New Roman"/>
          <w:kern w:val="2"/>
          <w:sz w:val="18"/>
          <w:szCs w:val="18"/>
          <w:lang w:eastAsia="ar-SA"/>
        </w:rPr>
      </w:pPr>
      <w:bookmarkStart w:id="0" w:name="_GoBack"/>
      <w:bookmarkEnd w:id="0"/>
    </w:p>
    <w:p w14:paraId="15F54ABB" w14:textId="77777777" w:rsidR="006030A6" w:rsidRPr="00D1610E" w:rsidRDefault="006030A6" w:rsidP="00F55E9C">
      <w:pPr>
        <w:spacing w:before="240" w:after="120" w:line="240" w:lineRule="auto"/>
        <w:rPr>
          <w:rFonts w:ascii="Times New Roman" w:hAnsi="Times New Roman"/>
          <w:b/>
          <w:i/>
          <w:sz w:val="18"/>
          <w:szCs w:val="18"/>
          <w:lang w:val="en-GB"/>
        </w:rPr>
      </w:pPr>
      <w:r w:rsidRPr="00D1610E">
        <w:rPr>
          <w:rFonts w:ascii="Times New Roman" w:hAnsi="Times New Roman"/>
          <w:b/>
          <w:i/>
          <w:sz w:val="18"/>
          <w:szCs w:val="18"/>
          <w:lang w:val="en-GB"/>
        </w:rPr>
        <w:lastRenderedPageBreak/>
        <w:t>TEACHING METHOD</w:t>
      </w:r>
      <w:r w:rsidR="00703A74" w:rsidRPr="00D1610E">
        <w:rPr>
          <w:rFonts w:ascii="Times New Roman" w:hAnsi="Times New Roman"/>
          <w:b/>
          <w:i/>
          <w:sz w:val="18"/>
          <w:szCs w:val="18"/>
          <w:lang w:val="en-GB"/>
        </w:rPr>
        <w:t xml:space="preserve"> </w:t>
      </w:r>
    </w:p>
    <w:p w14:paraId="7E409A48" w14:textId="66A3766B" w:rsidR="006030A6" w:rsidRPr="00D1610E" w:rsidRDefault="007C66F0" w:rsidP="00F55E9C">
      <w:pPr>
        <w:pStyle w:val="Testo2"/>
        <w:spacing w:line="240" w:lineRule="auto"/>
        <w:ind w:firstLine="0"/>
        <w:rPr>
          <w:rFonts w:ascii="Times New Roman" w:hAnsi="Times New Roman"/>
          <w:noProof w:val="0"/>
          <w:szCs w:val="18"/>
          <w:lang w:val="en-GB"/>
        </w:rPr>
      </w:pPr>
      <w:r w:rsidRPr="00D1610E">
        <w:rPr>
          <w:rFonts w:ascii="Times New Roman" w:hAnsi="Times New Roman"/>
          <w:noProof w:val="0"/>
          <w:szCs w:val="18"/>
          <w:lang w:val="en-GB"/>
        </w:rPr>
        <w:t xml:space="preserve">The module alternates lessons of theoretical framework, analysis and discussions of business cases. The lessons dedicated to the introduction of the concepts and detection tools are alternated with the in-depth analysis </w:t>
      </w:r>
      <w:r w:rsidR="0095041F">
        <w:rPr>
          <w:rFonts w:ascii="Times New Roman" w:hAnsi="Times New Roman"/>
          <w:noProof w:val="0"/>
          <w:szCs w:val="18"/>
          <w:lang w:val="en-GB"/>
        </w:rPr>
        <w:t xml:space="preserve">of </w:t>
      </w:r>
      <w:r w:rsidRPr="00D1610E">
        <w:rPr>
          <w:rFonts w:ascii="Times New Roman" w:hAnsi="Times New Roman"/>
          <w:noProof w:val="0"/>
          <w:szCs w:val="18"/>
          <w:lang w:val="en-GB"/>
        </w:rPr>
        <w:t>reporting documents. The module uses the Blackboard platform on which further teaching material will be made available.</w:t>
      </w:r>
    </w:p>
    <w:p w14:paraId="0F6BBEC2" w14:textId="77777777" w:rsidR="006030A6" w:rsidRPr="00D1610E" w:rsidRDefault="006030A6" w:rsidP="00F55E9C">
      <w:pPr>
        <w:spacing w:before="240" w:after="120" w:line="240" w:lineRule="auto"/>
        <w:rPr>
          <w:rFonts w:ascii="Times New Roman" w:hAnsi="Times New Roman"/>
          <w:b/>
          <w:i/>
          <w:sz w:val="18"/>
          <w:szCs w:val="18"/>
          <w:lang w:val="en-GB"/>
        </w:rPr>
      </w:pPr>
      <w:r w:rsidRPr="00D1610E">
        <w:rPr>
          <w:rFonts w:ascii="Times New Roman" w:hAnsi="Times New Roman"/>
          <w:b/>
          <w:i/>
          <w:sz w:val="18"/>
          <w:szCs w:val="18"/>
          <w:lang w:val="en-GB"/>
        </w:rPr>
        <w:t>ASSESSMENT METHOD</w:t>
      </w:r>
      <w:r w:rsidR="00C72839" w:rsidRPr="00D1610E">
        <w:rPr>
          <w:rFonts w:ascii="Times New Roman" w:hAnsi="Times New Roman"/>
          <w:b/>
          <w:i/>
          <w:sz w:val="18"/>
          <w:szCs w:val="18"/>
          <w:lang w:val="en-GB"/>
        </w:rPr>
        <w:t xml:space="preserve"> AND CRITERIA</w:t>
      </w:r>
    </w:p>
    <w:p w14:paraId="3381E308" w14:textId="1B0BF238" w:rsidR="006030A6" w:rsidRPr="00D1610E" w:rsidRDefault="007C66F0" w:rsidP="007C66F0">
      <w:pPr>
        <w:pStyle w:val="Testo2"/>
        <w:spacing w:line="240" w:lineRule="auto"/>
        <w:ind w:firstLine="0"/>
        <w:rPr>
          <w:rFonts w:ascii="Times New Roman" w:hAnsi="Times New Roman"/>
          <w:noProof w:val="0"/>
          <w:szCs w:val="18"/>
          <w:lang w:val="en-GB"/>
        </w:rPr>
      </w:pPr>
      <w:r w:rsidRPr="00D1610E">
        <w:rPr>
          <w:rFonts w:ascii="Times New Roman" w:hAnsi="Times New Roman"/>
          <w:noProof w:val="0"/>
          <w:szCs w:val="18"/>
          <w:lang w:val="en-GB"/>
        </w:rPr>
        <w:t xml:space="preserve">For all students, the exam mode involves group work (60% of the assessment) and a compulsory written test that can be carried out in official teaching appeals at the end of the first semester (40% of the assessment). Group work consists of the analysis and evaluation of the reporting tools of a specific company assigned to each group by the teacher. In the case of non-attending students, </w:t>
      </w:r>
      <w:r w:rsidR="00CF271D">
        <w:rPr>
          <w:rFonts w:ascii="Times New Roman" w:hAnsi="Times New Roman"/>
          <w:noProof w:val="0"/>
          <w:szCs w:val="18"/>
          <w:lang w:val="en-GB"/>
        </w:rPr>
        <w:t>the assignment</w:t>
      </w:r>
      <w:r w:rsidRPr="00D1610E">
        <w:rPr>
          <w:rFonts w:ascii="Times New Roman" w:hAnsi="Times New Roman"/>
          <w:noProof w:val="0"/>
          <w:szCs w:val="18"/>
          <w:lang w:val="en-GB"/>
        </w:rPr>
        <w:t xml:space="preserve"> can be done individually. The evaluation criteria of the group work are: completeness of the analysis, appropriateness in the use of the technical language learned, ability to identify alternative hypotheses. The final test is carried out in writing and includes open questions relating to </w:t>
      </w:r>
      <w:r w:rsidR="00CF271D">
        <w:rPr>
          <w:rFonts w:ascii="Times New Roman" w:hAnsi="Times New Roman"/>
          <w:noProof w:val="0"/>
          <w:szCs w:val="18"/>
          <w:lang w:val="en-GB"/>
        </w:rPr>
        <w:t>economic</w:t>
      </w:r>
      <w:r w:rsidR="0016025D">
        <w:rPr>
          <w:rFonts w:ascii="Times New Roman" w:hAnsi="Times New Roman"/>
          <w:noProof w:val="0"/>
          <w:szCs w:val="18"/>
          <w:lang w:val="en-GB"/>
        </w:rPr>
        <w:t xml:space="preserve"> and</w:t>
      </w:r>
      <w:r w:rsidR="00CF271D">
        <w:rPr>
          <w:rFonts w:ascii="Times New Roman" w:hAnsi="Times New Roman"/>
          <w:noProof w:val="0"/>
          <w:szCs w:val="18"/>
          <w:lang w:val="en-GB"/>
        </w:rPr>
        <w:t xml:space="preserve"> financial</w:t>
      </w:r>
      <w:r w:rsidR="0016025D">
        <w:rPr>
          <w:rFonts w:ascii="Times New Roman" w:hAnsi="Times New Roman"/>
          <w:noProof w:val="0"/>
          <w:szCs w:val="18"/>
          <w:lang w:val="en-GB"/>
        </w:rPr>
        <w:t xml:space="preserve"> values and the comment of a financial statement aimed to </w:t>
      </w:r>
      <w:r w:rsidR="006D3BE8">
        <w:rPr>
          <w:rFonts w:ascii="Times New Roman" w:hAnsi="Times New Roman"/>
          <w:noProof w:val="0"/>
          <w:szCs w:val="18"/>
          <w:lang w:val="en-GB"/>
        </w:rPr>
        <w:t xml:space="preserve">identify </w:t>
      </w:r>
      <w:r w:rsidR="006D3BE8" w:rsidRPr="006D3BE8">
        <w:rPr>
          <w:rFonts w:ascii="Times New Roman" w:hAnsi="Times New Roman"/>
          <w:noProof w:val="0"/>
          <w:szCs w:val="18"/>
          <w:lang w:val="en-GB"/>
        </w:rPr>
        <w:t>the overall requirements</w:t>
      </w:r>
      <w:r w:rsidR="006D3BE8">
        <w:rPr>
          <w:rFonts w:ascii="Times New Roman" w:hAnsi="Times New Roman"/>
          <w:noProof w:val="0"/>
          <w:szCs w:val="18"/>
          <w:lang w:val="en-GB"/>
        </w:rPr>
        <w:t xml:space="preserve"> for financial and economic equilibrium</w:t>
      </w:r>
      <w:r w:rsidRPr="00D1610E">
        <w:rPr>
          <w:rFonts w:ascii="Times New Roman" w:hAnsi="Times New Roman"/>
          <w:noProof w:val="0"/>
          <w:szCs w:val="18"/>
          <w:lang w:val="en-GB"/>
        </w:rPr>
        <w:t>. The evaluation criteria for the final test of the module are: correct use of the concepts introduced in the course, ability to comment on information relating to the financial statements of companies, ability to correctly identify and interpret the financial and non-financial information contained in company reports. The test can be taken in the exam sessions scheduled at the end of the lessons of the first semester. The overall evaluation of the course derives from the average of the evaluations achieved in the tests relating to the two modules</w:t>
      </w:r>
    </w:p>
    <w:p w14:paraId="18EF797C" w14:textId="77777777" w:rsidR="007C66F0" w:rsidRPr="00D1610E" w:rsidRDefault="007C66F0" w:rsidP="00F55E9C">
      <w:pPr>
        <w:pStyle w:val="Testo2"/>
        <w:spacing w:line="240" w:lineRule="auto"/>
        <w:ind w:firstLine="0"/>
        <w:rPr>
          <w:rFonts w:ascii="Times New Roman" w:hAnsi="Times New Roman"/>
          <w:noProof w:val="0"/>
          <w:szCs w:val="18"/>
          <w:lang w:val="en-GB"/>
        </w:rPr>
      </w:pPr>
    </w:p>
    <w:p w14:paraId="361439C7" w14:textId="77777777" w:rsidR="006030A6" w:rsidRPr="00D1610E" w:rsidRDefault="006030A6" w:rsidP="00F55E9C">
      <w:pPr>
        <w:spacing w:before="240" w:after="120" w:line="240" w:lineRule="auto"/>
        <w:rPr>
          <w:rFonts w:ascii="Times New Roman" w:hAnsi="Times New Roman"/>
          <w:b/>
          <w:i/>
          <w:sz w:val="18"/>
          <w:szCs w:val="18"/>
          <w:lang w:val="en-GB"/>
        </w:rPr>
      </w:pPr>
      <w:r w:rsidRPr="00D1610E">
        <w:rPr>
          <w:rFonts w:ascii="Times New Roman" w:hAnsi="Times New Roman"/>
          <w:b/>
          <w:i/>
          <w:sz w:val="18"/>
          <w:szCs w:val="18"/>
          <w:lang w:val="en-GB"/>
        </w:rPr>
        <w:t>NOTES</w:t>
      </w:r>
      <w:r w:rsidR="00C72839" w:rsidRPr="00D1610E">
        <w:rPr>
          <w:rFonts w:ascii="Times New Roman" w:hAnsi="Times New Roman"/>
          <w:b/>
          <w:i/>
          <w:sz w:val="18"/>
          <w:szCs w:val="18"/>
          <w:lang w:val="en-GB"/>
        </w:rPr>
        <w:t xml:space="preserve"> AND PREREQUISITES</w:t>
      </w:r>
    </w:p>
    <w:p w14:paraId="40F955D1" w14:textId="77777777" w:rsidR="00D1610E" w:rsidRPr="000E0AB9" w:rsidRDefault="00D1610E" w:rsidP="00D1610E">
      <w:pPr>
        <w:tabs>
          <w:tab w:val="left" w:pos="-142"/>
          <w:tab w:val="left" w:pos="9072"/>
        </w:tabs>
        <w:suppressAutoHyphens/>
        <w:spacing w:after="120" w:line="240" w:lineRule="auto"/>
        <w:ind w:right="28"/>
        <w:rPr>
          <w:rStyle w:val="Collegamentoipertestuale"/>
          <w:rFonts w:ascii="Times New Roman" w:hAnsi="Times New Roman"/>
          <w:sz w:val="18"/>
          <w:szCs w:val="18"/>
          <w:lang w:val="en-US"/>
        </w:rPr>
      </w:pPr>
      <w:r w:rsidRPr="00D1610E">
        <w:rPr>
          <w:rFonts w:ascii="Times New Roman" w:hAnsi="Times New Roman"/>
          <w:sz w:val="18"/>
          <w:szCs w:val="18"/>
          <w:lang w:val="en-GB"/>
        </w:rPr>
        <w:t xml:space="preserve">No prerequisites of skills are required for successful participation in teaching. </w:t>
      </w:r>
      <w:r w:rsidRPr="00D1610E">
        <w:rPr>
          <w:rFonts w:ascii="Times New Roman" w:hAnsi="Times New Roman"/>
          <w:noProof/>
          <w:sz w:val="18"/>
          <w:szCs w:val="18"/>
          <w:lang w:val="en-US"/>
        </w:rPr>
        <w:t xml:space="preserve">Information on office hours available on the teacher's personal page at: </w:t>
      </w:r>
      <w:hyperlink r:id="rId9" w:history="1">
        <w:r w:rsidRPr="00D1610E">
          <w:rPr>
            <w:rStyle w:val="Collegamentoipertestuale"/>
            <w:rFonts w:ascii="Times New Roman" w:hAnsi="Times New Roman"/>
            <w:sz w:val="18"/>
            <w:szCs w:val="18"/>
            <w:lang w:val="en-US"/>
          </w:rPr>
          <w:t>http://docenti.unicatt.it/</w:t>
        </w:r>
      </w:hyperlink>
    </w:p>
    <w:p w14:paraId="385E1A8D" w14:textId="77777777" w:rsidR="00D04816" w:rsidRPr="009510B5" w:rsidRDefault="00D04816" w:rsidP="00D1610E">
      <w:pPr>
        <w:tabs>
          <w:tab w:val="left" w:pos="-142"/>
          <w:tab w:val="left" w:pos="9072"/>
        </w:tabs>
        <w:suppressAutoHyphens/>
        <w:spacing w:after="120" w:line="240" w:lineRule="auto"/>
        <w:ind w:right="28"/>
        <w:rPr>
          <w:rFonts w:ascii="Times New Roman" w:hAnsi="Times New Roman"/>
          <w:bCs/>
          <w:iCs/>
          <w:sz w:val="18"/>
          <w:szCs w:val="18"/>
          <w:lang w:val="en-GB"/>
        </w:rPr>
      </w:pPr>
    </w:p>
    <w:sectPr w:rsidR="00D04816" w:rsidRPr="009510B5"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933908"/>
    <w:multiLevelType w:val="multilevel"/>
    <w:tmpl w:val="5FCA3E32"/>
    <w:lvl w:ilvl="0">
      <w:start w:val="1"/>
      <w:numFmt w:val="bullet"/>
      <w:lvlText w:val=""/>
      <w:lvlJc w:val="left"/>
      <w:pPr>
        <w:tabs>
          <w:tab w:val="num" w:pos="0"/>
        </w:tabs>
        <w:ind w:left="720" w:hanging="360"/>
      </w:pPr>
      <w:rPr>
        <w:rFonts w:ascii="Wingdings" w:hAnsi="Wingdings" w:hint="default"/>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54E7A"/>
    <w:multiLevelType w:val="hybridMultilevel"/>
    <w:tmpl w:val="A2D66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6101B"/>
    <w:multiLevelType w:val="hybridMultilevel"/>
    <w:tmpl w:val="0C183AB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A233783"/>
    <w:multiLevelType w:val="hybridMultilevel"/>
    <w:tmpl w:val="B97A22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485175"/>
    <w:multiLevelType w:val="hybridMultilevel"/>
    <w:tmpl w:val="E870D63E"/>
    <w:lvl w:ilvl="0" w:tplc="E12613F4">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AD011A"/>
    <w:multiLevelType w:val="hybridMultilevel"/>
    <w:tmpl w:val="895051CA"/>
    <w:lvl w:ilvl="0" w:tplc="8730E2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6"/>
  </w:num>
  <w:num w:numId="5">
    <w:abstractNumId w:val="16"/>
  </w:num>
  <w:num w:numId="6">
    <w:abstractNumId w:val="21"/>
  </w:num>
  <w:num w:numId="7">
    <w:abstractNumId w:val="3"/>
  </w:num>
  <w:num w:numId="8">
    <w:abstractNumId w:val="22"/>
  </w:num>
  <w:num w:numId="9">
    <w:abstractNumId w:val="27"/>
  </w:num>
  <w:num w:numId="10">
    <w:abstractNumId w:val="9"/>
  </w:num>
  <w:num w:numId="11">
    <w:abstractNumId w:val="5"/>
  </w:num>
  <w:num w:numId="12">
    <w:abstractNumId w:val="15"/>
  </w:num>
  <w:num w:numId="13">
    <w:abstractNumId w:val="19"/>
  </w:num>
  <w:num w:numId="14">
    <w:abstractNumId w:val="7"/>
  </w:num>
  <w:num w:numId="15">
    <w:abstractNumId w:val="23"/>
  </w:num>
  <w:num w:numId="16">
    <w:abstractNumId w:val="14"/>
  </w:num>
  <w:num w:numId="17">
    <w:abstractNumId w:val="26"/>
  </w:num>
  <w:num w:numId="18">
    <w:abstractNumId w:val="26"/>
  </w:num>
  <w:num w:numId="19">
    <w:abstractNumId w:val="24"/>
  </w:num>
  <w:num w:numId="20">
    <w:abstractNumId w:val="17"/>
  </w:num>
  <w:num w:numId="21">
    <w:abstractNumId w:val="0"/>
  </w:num>
  <w:num w:numId="22">
    <w:abstractNumId w:val="1"/>
  </w:num>
  <w:num w:numId="23">
    <w:abstractNumId w:val="18"/>
  </w:num>
  <w:num w:numId="24">
    <w:abstractNumId w:val="9"/>
  </w:num>
  <w:num w:numId="25">
    <w:abstractNumId w:val="0"/>
  </w:num>
  <w:num w:numId="26">
    <w:abstractNumId w:val="18"/>
  </w:num>
  <w:num w:numId="27">
    <w:abstractNumId w:val="8"/>
  </w:num>
  <w:num w:numId="28">
    <w:abstractNumId w:val="25"/>
  </w:num>
  <w:num w:numId="29">
    <w:abstractNumId w:val="11"/>
  </w:num>
  <w:num w:numId="30">
    <w:abstractNumId w:val="2"/>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4E"/>
    <w:rsid w:val="00007195"/>
    <w:rsid w:val="00013D8C"/>
    <w:rsid w:val="00025B8B"/>
    <w:rsid w:val="00046044"/>
    <w:rsid w:val="00056F46"/>
    <w:rsid w:val="000C5453"/>
    <w:rsid w:val="000D1011"/>
    <w:rsid w:val="000D22D0"/>
    <w:rsid w:val="000D7EDA"/>
    <w:rsid w:val="000E0AB9"/>
    <w:rsid w:val="000E74C1"/>
    <w:rsid w:val="00105398"/>
    <w:rsid w:val="00120472"/>
    <w:rsid w:val="0015130F"/>
    <w:rsid w:val="0016025D"/>
    <w:rsid w:val="00177CE0"/>
    <w:rsid w:val="00186B7C"/>
    <w:rsid w:val="001908DD"/>
    <w:rsid w:val="001D4A03"/>
    <w:rsid w:val="00205F8C"/>
    <w:rsid w:val="00236713"/>
    <w:rsid w:val="00271EDE"/>
    <w:rsid w:val="002A64C6"/>
    <w:rsid w:val="002B5AF4"/>
    <w:rsid w:val="002D1B8C"/>
    <w:rsid w:val="002E7203"/>
    <w:rsid w:val="003129C8"/>
    <w:rsid w:val="00333B3F"/>
    <w:rsid w:val="00346C00"/>
    <w:rsid w:val="00392672"/>
    <w:rsid w:val="003B160C"/>
    <w:rsid w:val="003B1F9C"/>
    <w:rsid w:val="003C12D4"/>
    <w:rsid w:val="003E478B"/>
    <w:rsid w:val="003F7AE0"/>
    <w:rsid w:val="004201A8"/>
    <w:rsid w:val="00431017"/>
    <w:rsid w:val="004546CC"/>
    <w:rsid w:val="004550B6"/>
    <w:rsid w:val="0046288C"/>
    <w:rsid w:val="00471E02"/>
    <w:rsid w:val="0048058D"/>
    <w:rsid w:val="00495B52"/>
    <w:rsid w:val="004B709F"/>
    <w:rsid w:val="004D19AE"/>
    <w:rsid w:val="004D60DE"/>
    <w:rsid w:val="004E518C"/>
    <w:rsid w:val="00526A87"/>
    <w:rsid w:val="00566018"/>
    <w:rsid w:val="005709F2"/>
    <w:rsid w:val="00584CB0"/>
    <w:rsid w:val="005B141E"/>
    <w:rsid w:val="005F1D66"/>
    <w:rsid w:val="006030A6"/>
    <w:rsid w:val="006175AA"/>
    <w:rsid w:val="006223E7"/>
    <w:rsid w:val="0066415A"/>
    <w:rsid w:val="00664CD1"/>
    <w:rsid w:val="0069398F"/>
    <w:rsid w:val="006975AE"/>
    <w:rsid w:val="006A2DEC"/>
    <w:rsid w:val="006C7B25"/>
    <w:rsid w:val="006D3BE8"/>
    <w:rsid w:val="006F5B2E"/>
    <w:rsid w:val="0070074D"/>
    <w:rsid w:val="00703383"/>
    <w:rsid w:val="00703A74"/>
    <w:rsid w:val="0071087B"/>
    <w:rsid w:val="00731AAD"/>
    <w:rsid w:val="007379BA"/>
    <w:rsid w:val="007700A8"/>
    <w:rsid w:val="00781367"/>
    <w:rsid w:val="007859A0"/>
    <w:rsid w:val="00787155"/>
    <w:rsid w:val="007C66F0"/>
    <w:rsid w:val="00810EE2"/>
    <w:rsid w:val="0081379C"/>
    <w:rsid w:val="008326B2"/>
    <w:rsid w:val="00833D15"/>
    <w:rsid w:val="00896F8B"/>
    <w:rsid w:val="008A016C"/>
    <w:rsid w:val="008A2AA7"/>
    <w:rsid w:val="0095041F"/>
    <w:rsid w:val="009510B5"/>
    <w:rsid w:val="00973BC8"/>
    <w:rsid w:val="00995770"/>
    <w:rsid w:val="009F2748"/>
    <w:rsid w:val="00A059A1"/>
    <w:rsid w:val="00A12023"/>
    <w:rsid w:val="00A552AF"/>
    <w:rsid w:val="00A71B9E"/>
    <w:rsid w:val="00AA20EF"/>
    <w:rsid w:val="00AC5A73"/>
    <w:rsid w:val="00B0387F"/>
    <w:rsid w:val="00B27571"/>
    <w:rsid w:val="00B73E97"/>
    <w:rsid w:val="00B857CC"/>
    <w:rsid w:val="00BB002D"/>
    <w:rsid w:val="00BB6F7E"/>
    <w:rsid w:val="00BC444E"/>
    <w:rsid w:val="00BE2C9F"/>
    <w:rsid w:val="00BE2DAA"/>
    <w:rsid w:val="00C035E2"/>
    <w:rsid w:val="00C05385"/>
    <w:rsid w:val="00C40AAE"/>
    <w:rsid w:val="00C468A2"/>
    <w:rsid w:val="00C46E0D"/>
    <w:rsid w:val="00C72839"/>
    <w:rsid w:val="00CB3928"/>
    <w:rsid w:val="00CD2F38"/>
    <w:rsid w:val="00CF271D"/>
    <w:rsid w:val="00D04816"/>
    <w:rsid w:val="00D1610E"/>
    <w:rsid w:val="00D75B80"/>
    <w:rsid w:val="00DA3393"/>
    <w:rsid w:val="00DF7120"/>
    <w:rsid w:val="00E047AB"/>
    <w:rsid w:val="00E30264"/>
    <w:rsid w:val="00E50F14"/>
    <w:rsid w:val="00E82EEA"/>
    <w:rsid w:val="00EA323D"/>
    <w:rsid w:val="00EB5BA6"/>
    <w:rsid w:val="00EB6203"/>
    <w:rsid w:val="00F07021"/>
    <w:rsid w:val="00F12325"/>
    <w:rsid w:val="00F20E02"/>
    <w:rsid w:val="00F55E9C"/>
    <w:rsid w:val="00F8037C"/>
    <w:rsid w:val="00FE0D30"/>
    <w:rsid w:val="00FF08A6"/>
    <w:rsid w:val="00FF2084"/>
    <w:rsid w:val="00FF5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62A6"/>
  <w15:docId w15:val="{B8082661-AC0C-48B0-962F-33517E2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character" w:customStyle="1" w:styleId="Titolo4Carattere">
    <w:name w:val="Titolo 4 Carattere"/>
    <w:basedOn w:val="Carpredefinitoparagrafo"/>
    <w:link w:val="Titolo4"/>
    <w:semiHidden/>
    <w:rsid w:val="00AC5A73"/>
    <w:rPr>
      <w:rFonts w:asciiTheme="majorHAnsi" w:eastAsiaTheme="majorEastAsia" w:hAnsiTheme="majorHAnsi" w:cstheme="majorBidi"/>
      <w:b/>
      <w:bCs/>
      <w:i/>
      <w:iCs/>
      <w:color w:val="4F81BD" w:themeColor="accent1"/>
    </w:rPr>
  </w:style>
  <w:style w:type="paragraph" w:styleId="Corpotesto">
    <w:name w:val="Body Text"/>
    <w:basedOn w:val="Normale"/>
    <w:link w:val="CorpotestoCarattere"/>
    <w:semiHidden/>
    <w:unhideWhenUsed/>
    <w:rsid w:val="00E047AB"/>
    <w:pPr>
      <w:spacing w:after="120"/>
    </w:pPr>
  </w:style>
  <w:style w:type="character" w:customStyle="1" w:styleId="CorpotestoCarattere">
    <w:name w:val="Corpo testo Carattere"/>
    <w:basedOn w:val="Carpredefinitoparagrafo"/>
    <w:link w:val="Corpotesto"/>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character" w:styleId="Collegamentovisitato">
    <w:name w:val="FollowedHyperlink"/>
    <w:basedOn w:val="Carpredefinitoparagrafo"/>
    <w:semiHidden/>
    <w:unhideWhenUsed/>
    <w:rsid w:val="00A552AF"/>
    <w:rPr>
      <w:color w:val="800080" w:themeColor="followedHyperlink"/>
      <w:u w:val="single"/>
    </w:rPr>
  </w:style>
  <w:style w:type="paragraph" w:styleId="Paragrafoelenco">
    <w:name w:val="List Paragraph"/>
    <w:basedOn w:val="Normale"/>
    <w:uiPriority w:val="34"/>
    <w:qFormat/>
    <w:rsid w:val="000D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312834737">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F21B2-FBA5-49F6-90B7-AE3E91B2E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348DA-C6E5-4991-9047-0DDB4FDCA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3E716-181F-4D0B-96F5-7D3C13EB5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73</TotalTime>
  <Pages>4</Pages>
  <Words>1460</Words>
  <Characters>8325</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14</cp:revision>
  <cp:lastPrinted>2016-05-05T11:20:00Z</cp:lastPrinted>
  <dcterms:created xsi:type="dcterms:W3CDTF">2020-05-27T14:46:00Z</dcterms:created>
  <dcterms:modified xsi:type="dcterms:W3CDTF">2022-09-05T12:48:00Z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