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C75E5" w14:textId="48B8AE1A" w:rsidR="007945A7" w:rsidRDefault="00B528DF">
      <w:pPr>
        <w:pStyle w:val="Titolo1"/>
        <w:rPr>
          <w:b w:val="0"/>
          <w:noProof w:val="0"/>
          <w:sz w:val="22"/>
        </w:rPr>
      </w:pPr>
      <w:r>
        <w:rPr>
          <w:noProof w:val="0"/>
        </w:rPr>
        <w:t>Theory and Techniques of Portfolio Management</w:t>
      </w:r>
    </w:p>
    <w:p w14:paraId="2FF3C5BB" w14:textId="7E96DA06" w:rsidR="007945A7" w:rsidRDefault="00B528DF">
      <w:pPr>
        <w:tabs>
          <w:tab w:val="clear" w:pos="284"/>
        </w:tabs>
        <w:jc w:val="left"/>
        <w:outlineLvl w:val="1"/>
        <w:rPr>
          <w:smallCaps/>
        </w:rPr>
      </w:pPr>
      <w:r>
        <w:rPr>
          <w:smallCaps/>
        </w:rPr>
        <w:t>Prof. Simone Rossi</w:t>
      </w:r>
    </w:p>
    <w:p w14:paraId="2C636695" w14:textId="77777777" w:rsidR="007945A7" w:rsidRDefault="007945A7">
      <w:pPr>
        <w:spacing w:before="120"/>
        <w:rPr>
          <w:b/>
          <w:i/>
          <w:sz w:val="18"/>
        </w:rPr>
      </w:pPr>
      <w:bookmarkStart w:id="0" w:name="_GoBack"/>
      <w:bookmarkEnd w:id="0"/>
    </w:p>
    <w:p w14:paraId="1DF3C899" w14:textId="77777777" w:rsidR="007945A7" w:rsidRDefault="00B528DF">
      <w:pPr>
        <w:spacing w:before="120"/>
        <w:rPr>
          <w:b/>
          <w:i/>
          <w:sz w:val="18"/>
        </w:rPr>
      </w:pPr>
      <w:r>
        <w:rPr>
          <w:b/>
          <w:i/>
          <w:sz w:val="18"/>
        </w:rPr>
        <w:t>COURSE AIMS AND INTENDED LEARNING OUTCOMES</w:t>
      </w:r>
    </w:p>
    <w:p w14:paraId="247867A8" w14:textId="77777777" w:rsidR="007945A7" w:rsidRDefault="00B528DF">
      <w:pPr>
        <w:rPr>
          <w:sz w:val="18"/>
        </w:rPr>
      </w:pPr>
      <w:r>
        <w:rPr>
          <w:sz w:val="18"/>
        </w:rPr>
        <w:t>The course aims to examine the behaviour of the various players in the asset management market. The study and application of the main investment analysis and management methods from a portfolio perspective are covered.</w:t>
      </w:r>
    </w:p>
    <w:p w14:paraId="3A2D4D4E" w14:textId="77777777" w:rsidR="007945A7" w:rsidRDefault="007945A7">
      <w:pPr>
        <w:rPr>
          <w:sz w:val="18"/>
        </w:rPr>
      </w:pPr>
    </w:p>
    <w:p w14:paraId="6871A981" w14:textId="44329290" w:rsidR="007945A7" w:rsidRDefault="00B528DF">
      <w:pPr>
        <w:tabs>
          <w:tab w:val="clear" w:pos="284"/>
          <w:tab w:val="left" w:pos="142"/>
        </w:tabs>
        <w:rPr>
          <w:sz w:val="18"/>
        </w:rPr>
      </w:pPr>
      <w:r>
        <w:rPr>
          <w:sz w:val="18"/>
        </w:rPr>
        <w:t>At the end of the course, students will be able to:</w:t>
      </w:r>
    </w:p>
    <w:p w14:paraId="2ABBBD52" w14:textId="77920028" w:rsidR="007945A7" w:rsidRDefault="00B528DF">
      <w:pPr>
        <w:numPr>
          <w:ilvl w:val="0"/>
          <w:numId w:val="3"/>
        </w:numPr>
        <w:tabs>
          <w:tab w:val="clear" w:pos="284"/>
          <w:tab w:val="left" w:pos="142"/>
        </w:tabs>
        <w:ind w:left="142" w:hanging="142"/>
        <w:rPr>
          <w:sz w:val="18"/>
        </w:rPr>
      </w:pPr>
      <w:r>
        <w:rPr>
          <w:sz w:val="18"/>
        </w:rPr>
        <w:t>understand the evolution of household wealth in Italy and in the main developed countries;</w:t>
      </w:r>
    </w:p>
    <w:p w14:paraId="7F5ACA14" w14:textId="371CE9E8" w:rsidR="007945A7" w:rsidRDefault="00B528DF">
      <w:pPr>
        <w:numPr>
          <w:ilvl w:val="0"/>
          <w:numId w:val="3"/>
        </w:numPr>
        <w:tabs>
          <w:tab w:val="clear" w:pos="284"/>
          <w:tab w:val="left" w:pos="142"/>
        </w:tabs>
        <w:ind w:left="142" w:hanging="142"/>
        <w:rPr>
          <w:sz w:val="18"/>
        </w:rPr>
      </w:pPr>
      <w:r>
        <w:rPr>
          <w:sz w:val="18"/>
        </w:rPr>
        <w:t>have an integrated view of investment products, management techniques and valuation processes in the asset management sector;</w:t>
      </w:r>
    </w:p>
    <w:p w14:paraId="558502C7" w14:textId="05746D70" w:rsidR="007945A7" w:rsidRDefault="00B528DF">
      <w:pPr>
        <w:numPr>
          <w:ilvl w:val="0"/>
          <w:numId w:val="3"/>
        </w:numPr>
        <w:tabs>
          <w:tab w:val="clear" w:pos="284"/>
          <w:tab w:val="left" w:pos="0"/>
          <w:tab w:val="left" w:pos="142"/>
        </w:tabs>
        <w:ind w:left="142" w:hanging="142"/>
        <w:rPr>
          <w:sz w:val="18"/>
        </w:rPr>
      </w:pPr>
      <w:r>
        <w:rPr>
          <w:sz w:val="18"/>
        </w:rPr>
        <w:t>implement active and passive management strategies, as well as evaluate them;</w:t>
      </w:r>
    </w:p>
    <w:p w14:paraId="2E0E7B46" w14:textId="0467E7C2" w:rsidR="007945A7" w:rsidRDefault="00B528DF">
      <w:pPr>
        <w:numPr>
          <w:ilvl w:val="0"/>
          <w:numId w:val="3"/>
        </w:numPr>
        <w:tabs>
          <w:tab w:val="clear" w:pos="284"/>
          <w:tab w:val="left" w:pos="0"/>
          <w:tab w:val="left" w:pos="142"/>
        </w:tabs>
        <w:ind w:left="142" w:hanging="142"/>
        <w:rPr>
          <w:sz w:val="18"/>
        </w:rPr>
      </w:pPr>
      <w:r>
        <w:rPr>
          <w:sz w:val="18"/>
        </w:rPr>
        <w:t>conduct performance attribution processes and the reporting of results to customers;</w:t>
      </w:r>
    </w:p>
    <w:p w14:paraId="58E0D7D3" w14:textId="2F0665F9" w:rsidR="007945A7" w:rsidRDefault="00B528DF">
      <w:pPr>
        <w:numPr>
          <w:ilvl w:val="0"/>
          <w:numId w:val="3"/>
        </w:numPr>
        <w:tabs>
          <w:tab w:val="clear" w:pos="284"/>
          <w:tab w:val="left" w:pos="0"/>
          <w:tab w:val="left" w:pos="142"/>
        </w:tabs>
        <w:ind w:left="142" w:hanging="142"/>
        <w:rPr>
          <w:sz w:val="18"/>
        </w:rPr>
      </w:pPr>
      <w:r>
        <w:rPr>
          <w:sz w:val="18"/>
        </w:rPr>
        <w:t>play an advanced commercial role within a financial intermediary, offering the financial products and services best suited to the needs expressed by customers.</w:t>
      </w:r>
    </w:p>
    <w:p w14:paraId="3D0D8A98" w14:textId="77777777" w:rsidR="007945A7" w:rsidRDefault="00B528DF">
      <w:pPr>
        <w:spacing w:before="240" w:after="120"/>
        <w:rPr>
          <w:b/>
          <w:sz w:val="18"/>
        </w:rPr>
      </w:pPr>
      <w:r>
        <w:rPr>
          <w:b/>
          <w:i/>
          <w:sz w:val="18"/>
        </w:rPr>
        <w:t>COURSE CONTENT</w:t>
      </w:r>
    </w:p>
    <w:p w14:paraId="4B8ABF3C" w14:textId="77777777" w:rsidR="007945A7" w:rsidRDefault="00B528DF">
      <w:pPr>
        <w:jc w:val="left"/>
        <w:rPr>
          <w:b/>
          <w:sz w:val="18"/>
        </w:rPr>
      </w:pPr>
      <w:r>
        <w:rPr>
          <w:b/>
          <w:sz w:val="18"/>
        </w:rPr>
        <w:t>Module 1 (Scenario Analysis)</w:t>
      </w:r>
    </w:p>
    <w:p w14:paraId="24D74EB8" w14:textId="77777777" w:rsidR="007945A7" w:rsidRDefault="00B528DF">
      <w:pPr>
        <w:numPr>
          <w:ilvl w:val="0"/>
          <w:numId w:val="1"/>
        </w:numPr>
        <w:tabs>
          <w:tab w:val="clear" w:pos="284"/>
          <w:tab w:val="clear" w:pos="1069"/>
          <w:tab w:val="num" w:pos="142"/>
        </w:tabs>
        <w:ind w:left="142" w:hanging="142"/>
        <w:rPr>
          <w:sz w:val="18"/>
        </w:rPr>
      </w:pPr>
      <w:r>
        <w:rPr>
          <w:rFonts w:cs="Arial"/>
          <w:sz w:val="18"/>
        </w:rPr>
        <w:t>The financial wealth of households in Italy and in the main developed countries: analysis and evolutionary trends.</w:t>
      </w:r>
    </w:p>
    <w:p w14:paraId="72F3AE39" w14:textId="77777777" w:rsidR="007945A7" w:rsidRDefault="00B528DF">
      <w:pPr>
        <w:numPr>
          <w:ilvl w:val="0"/>
          <w:numId w:val="1"/>
        </w:numPr>
        <w:tabs>
          <w:tab w:val="clear" w:pos="284"/>
          <w:tab w:val="clear" w:pos="1069"/>
          <w:tab w:val="num" w:pos="142"/>
        </w:tabs>
        <w:ind w:left="142" w:hanging="142"/>
        <w:rPr>
          <w:sz w:val="18"/>
        </w:rPr>
      </w:pPr>
      <w:r>
        <w:rPr>
          <w:rFonts w:cs="Arial"/>
          <w:sz w:val="18"/>
        </w:rPr>
        <w:t>Customer behaviour, financial needs and risk appetite.</w:t>
      </w:r>
    </w:p>
    <w:p w14:paraId="096FC88E" w14:textId="77777777" w:rsidR="007945A7" w:rsidRDefault="00B528DF">
      <w:pPr>
        <w:tabs>
          <w:tab w:val="clear" w:pos="284"/>
          <w:tab w:val="left" w:pos="142"/>
        </w:tabs>
        <w:ind w:left="142" w:hanging="142"/>
        <w:rPr>
          <w:rFonts w:cs="Arial"/>
          <w:sz w:val="18"/>
        </w:rPr>
      </w:pPr>
      <w:r>
        <w:rPr>
          <w:rFonts w:cs="Arial"/>
          <w:sz w:val="18"/>
        </w:rPr>
        <w:t xml:space="preserve">- Financial services regulation: the </w:t>
      </w:r>
      <w:proofErr w:type="spellStart"/>
      <w:r>
        <w:rPr>
          <w:rFonts w:cs="Arial"/>
          <w:sz w:val="18"/>
        </w:rPr>
        <w:t>Mifid</w:t>
      </w:r>
      <w:proofErr w:type="spellEnd"/>
      <w:r>
        <w:rPr>
          <w:rFonts w:cs="Arial"/>
          <w:sz w:val="18"/>
        </w:rPr>
        <w:t xml:space="preserve"> directive and its effects on the Asset Management sector.</w:t>
      </w:r>
    </w:p>
    <w:p w14:paraId="206DAF34" w14:textId="77777777" w:rsidR="007945A7" w:rsidRDefault="00B528DF">
      <w:pPr>
        <w:tabs>
          <w:tab w:val="clear" w:pos="284"/>
        </w:tabs>
        <w:rPr>
          <w:sz w:val="18"/>
        </w:rPr>
      </w:pPr>
      <w:r>
        <w:rPr>
          <w:rFonts w:cs="Arial"/>
          <w:sz w:val="18"/>
        </w:rPr>
        <w:t>- Asset management products.</w:t>
      </w:r>
    </w:p>
    <w:p w14:paraId="7ECB66B8" w14:textId="77777777" w:rsidR="007945A7" w:rsidRDefault="007945A7">
      <w:pPr>
        <w:ind w:left="284"/>
        <w:jc w:val="left"/>
        <w:rPr>
          <w:sz w:val="18"/>
        </w:rPr>
      </w:pPr>
    </w:p>
    <w:p w14:paraId="5C30ABC2" w14:textId="77777777" w:rsidR="007945A7" w:rsidRDefault="00B528DF">
      <w:pPr>
        <w:jc w:val="left"/>
        <w:rPr>
          <w:b/>
          <w:sz w:val="18"/>
        </w:rPr>
      </w:pPr>
      <w:r>
        <w:rPr>
          <w:b/>
          <w:sz w:val="18"/>
        </w:rPr>
        <w:t>Module 2 (Portfolio Construction and Evaluation)</w:t>
      </w:r>
    </w:p>
    <w:p w14:paraId="523A28B0" w14:textId="77777777" w:rsidR="007945A7" w:rsidRDefault="00B528DF">
      <w:pPr>
        <w:numPr>
          <w:ilvl w:val="0"/>
          <w:numId w:val="2"/>
        </w:numPr>
        <w:tabs>
          <w:tab w:val="clear" w:pos="284"/>
          <w:tab w:val="clear" w:pos="1069"/>
          <w:tab w:val="left" w:pos="-2977"/>
          <w:tab w:val="num" w:pos="142"/>
        </w:tabs>
        <w:ind w:left="142" w:hanging="142"/>
        <w:jc w:val="left"/>
        <w:rPr>
          <w:sz w:val="18"/>
        </w:rPr>
      </w:pPr>
      <w:r>
        <w:rPr>
          <w:sz w:val="18"/>
        </w:rPr>
        <w:t>The concept of return and the determination of "risk".</w:t>
      </w:r>
    </w:p>
    <w:p w14:paraId="1C37C168" w14:textId="77777777" w:rsidR="007945A7" w:rsidRDefault="00B528DF">
      <w:pPr>
        <w:numPr>
          <w:ilvl w:val="0"/>
          <w:numId w:val="2"/>
        </w:numPr>
        <w:tabs>
          <w:tab w:val="clear" w:pos="284"/>
          <w:tab w:val="clear" w:pos="1069"/>
          <w:tab w:val="left" w:pos="-2977"/>
          <w:tab w:val="num" w:pos="142"/>
        </w:tabs>
        <w:ind w:left="142" w:hanging="142"/>
        <w:jc w:val="left"/>
        <w:rPr>
          <w:i/>
          <w:sz w:val="18"/>
        </w:rPr>
      </w:pPr>
      <w:r>
        <w:rPr>
          <w:sz w:val="18"/>
        </w:rPr>
        <w:t>Variance-covariance approach in portfolio evaluations.</w:t>
      </w:r>
    </w:p>
    <w:p w14:paraId="2203619D" w14:textId="77777777" w:rsidR="007945A7" w:rsidRDefault="00B528DF">
      <w:pPr>
        <w:numPr>
          <w:ilvl w:val="0"/>
          <w:numId w:val="2"/>
        </w:numPr>
        <w:tabs>
          <w:tab w:val="clear" w:pos="284"/>
          <w:tab w:val="clear" w:pos="1069"/>
          <w:tab w:val="left" w:pos="-2977"/>
          <w:tab w:val="num" w:pos="142"/>
        </w:tabs>
        <w:ind w:left="142" w:hanging="142"/>
        <w:jc w:val="left"/>
        <w:rPr>
          <w:i/>
          <w:sz w:val="18"/>
        </w:rPr>
      </w:pPr>
      <w:r>
        <w:rPr>
          <w:sz w:val="18"/>
        </w:rPr>
        <w:t>Risk Adjusted Performance Measures.</w:t>
      </w:r>
    </w:p>
    <w:p w14:paraId="76C48BAA" w14:textId="77777777" w:rsidR="007945A7" w:rsidRDefault="00B528DF">
      <w:pPr>
        <w:numPr>
          <w:ilvl w:val="0"/>
          <w:numId w:val="2"/>
        </w:numPr>
        <w:tabs>
          <w:tab w:val="clear" w:pos="284"/>
          <w:tab w:val="clear" w:pos="1069"/>
          <w:tab w:val="left" w:pos="-2977"/>
          <w:tab w:val="num" w:pos="142"/>
        </w:tabs>
        <w:ind w:left="142" w:hanging="142"/>
        <w:jc w:val="left"/>
        <w:rPr>
          <w:sz w:val="18"/>
        </w:rPr>
      </w:pPr>
      <w:r>
        <w:rPr>
          <w:sz w:val="18"/>
        </w:rPr>
        <w:t>Active and passive management.</w:t>
      </w:r>
    </w:p>
    <w:p w14:paraId="35D0A91B" w14:textId="77777777" w:rsidR="007945A7" w:rsidRDefault="00B528DF">
      <w:pPr>
        <w:numPr>
          <w:ilvl w:val="0"/>
          <w:numId w:val="2"/>
        </w:numPr>
        <w:tabs>
          <w:tab w:val="clear" w:pos="284"/>
          <w:tab w:val="clear" w:pos="1069"/>
          <w:tab w:val="left" w:pos="-2977"/>
          <w:tab w:val="num" w:pos="142"/>
        </w:tabs>
        <w:ind w:left="142" w:hanging="142"/>
        <w:jc w:val="left"/>
        <w:rPr>
          <w:i/>
          <w:sz w:val="18"/>
        </w:rPr>
      </w:pPr>
      <w:r>
        <w:rPr>
          <w:sz w:val="18"/>
        </w:rPr>
        <w:t>Calculation of yields (MWRR - TWRR).</w:t>
      </w:r>
    </w:p>
    <w:p w14:paraId="21313FBC" w14:textId="14DE78E5" w:rsidR="007945A7" w:rsidRDefault="00B528DF">
      <w:pPr>
        <w:numPr>
          <w:ilvl w:val="0"/>
          <w:numId w:val="2"/>
        </w:numPr>
        <w:tabs>
          <w:tab w:val="clear" w:pos="284"/>
          <w:tab w:val="clear" w:pos="1069"/>
          <w:tab w:val="left" w:pos="-2977"/>
          <w:tab w:val="num" w:pos="142"/>
        </w:tabs>
        <w:ind w:left="142" w:hanging="142"/>
        <w:jc w:val="left"/>
        <w:rPr>
          <w:i/>
          <w:sz w:val="18"/>
        </w:rPr>
      </w:pPr>
      <w:r>
        <w:rPr>
          <w:rFonts w:cs="Arial"/>
          <w:sz w:val="18"/>
        </w:rPr>
        <w:t>Elements of behavioural finance.</w:t>
      </w:r>
    </w:p>
    <w:p w14:paraId="01FB2DAC" w14:textId="77777777" w:rsidR="007945A7" w:rsidRDefault="00B528DF">
      <w:pPr>
        <w:keepNext/>
        <w:spacing w:after="120" w:line="240" w:lineRule="auto"/>
        <w:rPr>
          <w:b/>
          <w:sz w:val="18"/>
        </w:rPr>
      </w:pPr>
      <w:r>
        <w:rPr>
          <w:b/>
          <w:i/>
          <w:sz w:val="18"/>
        </w:rPr>
        <w:lastRenderedPageBreak/>
        <w:t>READING LIST</w:t>
      </w:r>
    </w:p>
    <w:p w14:paraId="1C13D536" w14:textId="3B313209" w:rsidR="007945A7" w:rsidRDefault="00B528DF">
      <w:pPr>
        <w:pStyle w:val="Paragrafoelenco"/>
        <w:keepNext/>
        <w:spacing w:after="120" w:line="240" w:lineRule="auto"/>
        <w:ind w:left="0"/>
        <w:rPr>
          <w:sz w:val="18"/>
        </w:rPr>
      </w:pPr>
      <w:r>
        <w:rPr>
          <w:smallCaps/>
          <w:sz w:val="18"/>
        </w:rPr>
        <w:t>Basile-P. Ferrari</w:t>
      </w:r>
      <w:r>
        <w:rPr>
          <w:sz w:val="18"/>
        </w:rPr>
        <w:t xml:space="preserve">, </w:t>
      </w:r>
      <w:r>
        <w:rPr>
          <w:i/>
          <w:sz w:val="18"/>
        </w:rPr>
        <w:t>Asset management and institutional investors</w:t>
      </w:r>
      <w:r>
        <w:rPr>
          <w:sz w:val="18"/>
        </w:rPr>
        <w:t>, Pearson, 2019.</w:t>
      </w:r>
      <w:r>
        <w:t xml:space="preserve"> </w:t>
      </w:r>
    </w:p>
    <w:p w14:paraId="15CE9A37" w14:textId="77777777" w:rsidR="007945A7" w:rsidRDefault="00B528DF">
      <w:pPr>
        <w:pStyle w:val="Testo1"/>
        <w:rPr>
          <w:noProof w:val="0"/>
        </w:rPr>
      </w:pPr>
      <w:r>
        <w:rPr>
          <w:iCs/>
          <w:noProof w:val="0"/>
        </w:rPr>
        <w:t xml:space="preserve">During lectures, the lecturer will indicate the parts of the reading list that will be covered in the exam. </w:t>
      </w:r>
      <w:r>
        <w:rPr>
          <w:noProof w:val="0"/>
        </w:rPr>
        <w:t>Support and updating material will be available on Blackboard.</w:t>
      </w:r>
    </w:p>
    <w:p w14:paraId="23EF4DBF" w14:textId="77777777" w:rsidR="007945A7" w:rsidRDefault="007945A7">
      <w:pPr>
        <w:tabs>
          <w:tab w:val="clear" w:pos="284"/>
        </w:tabs>
        <w:spacing w:line="220" w:lineRule="atLeast"/>
        <w:rPr>
          <w:sz w:val="18"/>
        </w:rPr>
      </w:pPr>
    </w:p>
    <w:p w14:paraId="2E8668C9" w14:textId="77777777" w:rsidR="007945A7" w:rsidRDefault="00B528DF">
      <w:pPr>
        <w:spacing w:before="240" w:after="120" w:line="220" w:lineRule="exact"/>
        <w:rPr>
          <w:b/>
          <w:i/>
          <w:sz w:val="18"/>
        </w:rPr>
      </w:pPr>
      <w:r>
        <w:rPr>
          <w:b/>
          <w:i/>
          <w:sz w:val="18"/>
        </w:rPr>
        <w:t>TEACHING METHOD</w:t>
      </w:r>
    </w:p>
    <w:p w14:paraId="756EBD09" w14:textId="77777777" w:rsidR="007945A7" w:rsidRDefault="00B528DF">
      <w:pPr>
        <w:tabs>
          <w:tab w:val="clear" w:pos="284"/>
        </w:tabs>
        <w:spacing w:after="120" w:line="220" w:lineRule="exact"/>
        <w:rPr>
          <w:sz w:val="18"/>
        </w:rPr>
      </w:pPr>
      <w:r>
        <w:rPr>
          <w:sz w:val="18"/>
        </w:rPr>
        <w:t>Lectures, guided tutorials, seminars.</w:t>
      </w:r>
    </w:p>
    <w:p w14:paraId="3456F031" w14:textId="77777777" w:rsidR="007945A7" w:rsidRDefault="007945A7">
      <w:pPr>
        <w:spacing w:before="120" w:after="120" w:line="220" w:lineRule="exact"/>
        <w:rPr>
          <w:sz w:val="18"/>
        </w:rPr>
      </w:pPr>
    </w:p>
    <w:p w14:paraId="5BD0B820" w14:textId="77777777" w:rsidR="007945A7" w:rsidRDefault="00B528DF">
      <w:pPr>
        <w:spacing w:after="120"/>
        <w:rPr>
          <w:sz w:val="18"/>
        </w:rPr>
      </w:pPr>
      <w:r>
        <w:rPr>
          <w:b/>
          <w:i/>
          <w:smallCaps/>
          <w:sz w:val="18"/>
        </w:rPr>
        <w:t>ASSESSMENT METHOD AND CRITERIA</w:t>
      </w:r>
      <w:r>
        <w:rPr>
          <w:sz w:val="18"/>
        </w:rPr>
        <w:t xml:space="preserve"> </w:t>
      </w:r>
      <w:r>
        <w:t xml:space="preserve"> </w:t>
      </w:r>
    </w:p>
    <w:p w14:paraId="3666D509" w14:textId="77777777" w:rsidR="007945A7" w:rsidRDefault="00B528DF">
      <w:pPr>
        <w:pStyle w:val="Testo2"/>
        <w:ind w:firstLine="0"/>
        <w:rPr>
          <w:noProof w:val="0"/>
        </w:rPr>
      </w:pPr>
      <w:r>
        <w:rPr>
          <w:noProof w:val="0"/>
        </w:rPr>
        <w:t>A written exam comprising open-ended and multiple-choice questions (with variable marks depending on the complexity of knowledge/skills assessed). The assessment of the open-ended questions will be based on the clarity and effectiveness of the student's presentation, the adherence of their answers to the question contents, their use of correct technical terminology, and the completeness of their arguments. Students require a mark of at least 18/30 to pass the exam.</w:t>
      </w:r>
    </w:p>
    <w:p w14:paraId="220780A1" w14:textId="77777777" w:rsidR="007945A7" w:rsidRDefault="00B528DF">
      <w:pPr>
        <w:pStyle w:val="Testo2"/>
        <w:ind w:firstLine="0"/>
        <w:rPr>
          <w:noProof w:val="0"/>
        </w:rPr>
      </w:pPr>
      <w:r>
        <w:rPr>
          <w:noProof w:val="0"/>
        </w:rPr>
        <w:t>For further clarification, please refer to the indications on Blackboard.</w:t>
      </w:r>
    </w:p>
    <w:p w14:paraId="5771BA67" w14:textId="77777777" w:rsidR="007945A7" w:rsidRDefault="007945A7">
      <w:pPr>
        <w:pStyle w:val="Testo2"/>
        <w:ind w:firstLine="0"/>
        <w:rPr>
          <w:noProof w:val="0"/>
        </w:rPr>
      </w:pPr>
    </w:p>
    <w:p w14:paraId="133991BF" w14:textId="77777777" w:rsidR="007945A7" w:rsidRDefault="007945A7">
      <w:pPr>
        <w:spacing w:after="120"/>
        <w:rPr>
          <w:b/>
          <w:i/>
          <w:smallCaps/>
          <w:sz w:val="18"/>
        </w:rPr>
      </w:pPr>
    </w:p>
    <w:p w14:paraId="7C64519E" w14:textId="77777777" w:rsidR="007945A7" w:rsidRDefault="00B528DF">
      <w:pPr>
        <w:spacing w:after="120"/>
        <w:rPr>
          <w:sz w:val="18"/>
        </w:rPr>
      </w:pPr>
      <w:r>
        <w:rPr>
          <w:b/>
          <w:i/>
          <w:smallCaps/>
          <w:sz w:val="18"/>
        </w:rPr>
        <w:t>NOTES AND PREREQUISITES</w:t>
      </w:r>
      <w:r>
        <w:rPr>
          <w:sz w:val="18"/>
        </w:rPr>
        <w:t xml:space="preserve"> </w:t>
      </w:r>
      <w:r>
        <w:t xml:space="preserve"> </w:t>
      </w:r>
    </w:p>
    <w:p w14:paraId="2F9C1E0C" w14:textId="17D18B4D" w:rsidR="007945A7" w:rsidRDefault="00B528DF">
      <w:pPr>
        <w:pStyle w:val="Testo2"/>
        <w:ind w:firstLine="0"/>
        <w:rPr>
          <w:noProof w:val="0"/>
        </w:rPr>
      </w:pPr>
      <w:r>
        <w:rPr>
          <w:noProof w:val="0"/>
        </w:rPr>
        <w:t>There are no specific course prerequisites; however, knowledge of  corporate finance, basic statistics and the world of markets and financial tools will prove useful.</w:t>
      </w:r>
    </w:p>
    <w:p w14:paraId="27D0B35C" w14:textId="77777777" w:rsidR="007945A7" w:rsidRDefault="007945A7">
      <w:pPr>
        <w:rPr>
          <w:sz w:val="18"/>
        </w:rPr>
      </w:pPr>
    </w:p>
    <w:p w14:paraId="0C7D871F" w14:textId="77777777" w:rsidR="007945A7" w:rsidRDefault="007945A7">
      <w:pPr>
        <w:rPr>
          <w:sz w:val="18"/>
        </w:rPr>
      </w:pPr>
    </w:p>
    <w:p w14:paraId="0BFE2CB0" w14:textId="77777777" w:rsidR="00B528DF" w:rsidRPr="006828ED" w:rsidRDefault="00B528DF" w:rsidP="00B528DF">
      <w:pPr>
        <w:rPr>
          <w:sz w:val="18"/>
        </w:rPr>
      </w:pPr>
      <w:r w:rsidRPr="006828ED">
        <w:rPr>
          <w:sz w:val="18"/>
        </w:rPr>
        <w:t>Information on office hours available on the teacher's personal page at http://docenti.unicatt.it/.</w:t>
      </w:r>
    </w:p>
    <w:p w14:paraId="5A3A106C" w14:textId="55AA940A" w:rsidR="007945A7" w:rsidRPr="00B528DF" w:rsidRDefault="007945A7" w:rsidP="00B528DF">
      <w:pPr>
        <w:pStyle w:val="Testo1"/>
        <w:spacing w:after="120"/>
      </w:pPr>
    </w:p>
    <w:sectPr w:rsidR="007945A7" w:rsidRPr="00B528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92"/>
    <w:rsid w:val="0009489F"/>
    <w:rsid w:val="00100D8D"/>
    <w:rsid w:val="00121AD4"/>
    <w:rsid w:val="002063F3"/>
    <w:rsid w:val="00231CA2"/>
    <w:rsid w:val="00265007"/>
    <w:rsid w:val="002866E8"/>
    <w:rsid w:val="002B4705"/>
    <w:rsid w:val="00300814"/>
    <w:rsid w:val="00301576"/>
    <w:rsid w:val="00375192"/>
    <w:rsid w:val="003D18F4"/>
    <w:rsid w:val="00436ECC"/>
    <w:rsid w:val="004421DE"/>
    <w:rsid w:val="00445471"/>
    <w:rsid w:val="0045638E"/>
    <w:rsid w:val="00467DE2"/>
    <w:rsid w:val="0047031A"/>
    <w:rsid w:val="004A2D20"/>
    <w:rsid w:val="005921BB"/>
    <w:rsid w:val="005932D4"/>
    <w:rsid w:val="00595F99"/>
    <w:rsid w:val="005A7349"/>
    <w:rsid w:val="005F26A7"/>
    <w:rsid w:val="00615102"/>
    <w:rsid w:val="006439A9"/>
    <w:rsid w:val="006A1F14"/>
    <w:rsid w:val="006E23CF"/>
    <w:rsid w:val="006F1E92"/>
    <w:rsid w:val="00701C87"/>
    <w:rsid w:val="0070687E"/>
    <w:rsid w:val="0072422D"/>
    <w:rsid w:val="00742230"/>
    <w:rsid w:val="007945A7"/>
    <w:rsid w:val="007B09AD"/>
    <w:rsid w:val="007B7CCC"/>
    <w:rsid w:val="008B75D2"/>
    <w:rsid w:val="009402C1"/>
    <w:rsid w:val="00957A35"/>
    <w:rsid w:val="009863EC"/>
    <w:rsid w:val="009E7C24"/>
    <w:rsid w:val="009F3270"/>
    <w:rsid w:val="00A96451"/>
    <w:rsid w:val="00B23A6B"/>
    <w:rsid w:val="00B372DE"/>
    <w:rsid w:val="00B43DB9"/>
    <w:rsid w:val="00B528DF"/>
    <w:rsid w:val="00B81E00"/>
    <w:rsid w:val="00B82097"/>
    <w:rsid w:val="00BA73B0"/>
    <w:rsid w:val="00BD1ECF"/>
    <w:rsid w:val="00BD637D"/>
    <w:rsid w:val="00C00747"/>
    <w:rsid w:val="00C66FE3"/>
    <w:rsid w:val="00C67113"/>
    <w:rsid w:val="00C9277A"/>
    <w:rsid w:val="00CC3A9B"/>
    <w:rsid w:val="00D3366F"/>
    <w:rsid w:val="00D373D3"/>
    <w:rsid w:val="00D62B3F"/>
    <w:rsid w:val="00D82F5E"/>
    <w:rsid w:val="00E477AC"/>
    <w:rsid w:val="00E735CC"/>
    <w:rsid w:val="00E73B11"/>
    <w:rsid w:val="00F165CD"/>
    <w:rsid w:val="00F424CE"/>
    <w:rsid w:val="00F930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15:docId w15:val="{03F31224-D891-574A-AEE1-686E220B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en-GB"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rsid w:val="009402C1"/>
    <w:rPr>
      <w:color w:val="0000FF"/>
      <w:u w:val="single"/>
    </w:rPr>
  </w:style>
  <w:style w:type="character" w:customStyle="1" w:styleId="Titolo1Carattere">
    <w:name w:val="Titolo 1 Carattere"/>
    <w:basedOn w:val="Carpredefinitoparagrafo"/>
    <w:link w:val="Titolo1"/>
    <w:rsid w:val="00301576"/>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5A234-DFB4-4B3C-AC4E-06A37066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44ECF-9D0C-4F8D-A864-A3EC42C73768}">
  <ds:schemaRefs>
    <ds:schemaRef ds:uri="http://schemas.microsoft.com/sharepoint/v3/contenttype/forms"/>
  </ds:schemaRefs>
</ds:datastoreItem>
</file>

<file path=customXml/itemProps3.xml><?xml version="1.0" encoding="utf-8"?>
<ds:datastoreItem xmlns:ds="http://schemas.openxmlformats.org/officeDocument/2006/customXml" ds:itemID="{A87238DC-D378-48A8-9565-F3753C2200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17</TotalTime>
  <Pages>2</Pages>
  <Words>411</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Piccolini Luisella</cp:lastModifiedBy>
  <cp:revision>16</cp:revision>
  <cp:lastPrinted>2009-06-17T07:46:00Z</cp:lastPrinted>
  <dcterms:created xsi:type="dcterms:W3CDTF">2015-04-28T12:44:00Z</dcterms:created>
  <dcterms:modified xsi:type="dcterms:W3CDTF">2021-09-19T14:15:00Z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