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8E5B4" w14:textId="77777777" w:rsidR="003F5AE3" w:rsidRPr="003F5AE3" w:rsidRDefault="003F5AE3" w:rsidP="003F5AE3">
      <w:pPr>
        <w:keepNext/>
        <w:spacing w:before="120"/>
        <w:ind w:left="709"/>
        <w:outlineLvl w:val="0"/>
        <w:rPr>
          <w:b/>
          <w:bCs/>
          <w:kern w:val="32"/>
          <w:sz w:val="20"/>
          <w:szCs w:val="20"/>
        </w:rPr>
      </w:pPr>
      <w:r>
        <w:rPr>
          <w:b/>
          <w:sz w:val="20"/>
        </w:rPr>
        <w:t xml:space="preserve">Economics of quality and safety </w:t>
      </w:r>
    </w:p>
    <w:p w14:paraId="46DDA72C" w14:textId="56030E5D" w:rsidR="008C688D" w:rsidRPr="000E4109" w:rsidRDefault="008C688D" w:rsidP="000F5BBA">
      <w:pPr>
        <w:pStyle w:val="Titolo1"/>
        <w:spacing w:before="0"/>
        <w:ind w:left="709"/>
        <w:rPr>
          <w:rFonts w:ascii="Times New Roman" w:hAnsi="Times New Roman"/>
          <w:b w:val="0"/>
          <w:smallCaps/>
          <w:sz w:val="20"/>
          <w:lang w:val="it-IT"/>
        </w:rPr>
      </w:pPr>
      <w:proofErr w:type="spellStart"/>
      <w:r>
        <w:rPr>
          <w:rFonts w:ascii="Times New Roman" w:hAnsi="Times New Roman"/>
          <w:b w:val="0"/>
          <w:smallCaps/>
          <w:sz w:val="20"/>
        </w:rPr>
        <w:t>Prof.</w:t>
      </w:r>
      <w:proofErr w:type="spellEnd"/>
      <w:r>
        <w:rPr>
          <w:rFonts w:ascii="Times New Roman" w:hAnsi="Times New Roman"/>
          <w:b w:val="0"/>
          <w:smallCaps/>
          <w:sz w:val="20"/>
        </w:rPr>
        <w:t xml:space="preserve"> </w:t>
      </w:r>
      <w:r w:rsidRPr="000E4109">
        <w:rPr>
          <w:rFonts w:ascii="Times New Roman" w:hAnsi="Times New Roman"/>
          <w:b w:val="0"/>
          <w:smallCaps/>
          <w:sz w:val="20"/>
          <w:lang w:val="it-IT"/>
        </w:rPr>
        <w:t>Ester Pietta-Prof. Daniele Moro</w:t>
      </w:r>
    </w:p>
    <w:p w14:paraId="204D1935" w14:textId="530AAE9D" w:rsidR="00D3609A" w:rsidRPr="002C4E93" w:rsidRDefault="00854DBA" w:rsidP="00BD165B">
      <w:pPr>
        <w:rPr>
          <w:sz w:val="20"/>
          <w:szCs w:val="20"/>
        </w:rPr>
      </w:pPr>
      <w:r w:rsidRPr="000E4109">
        <w:rPr>
          <w:lang w:val="it-IT"/>
        </w:rPr>
        <w:tab/>
      </w:r>
      <w:bookmarkStart w:id="0" w:name="_GoBack"/>
      <w:bookmarkEnd w:id="0"/>
    </w:p>
    <w:p w14:paraId="48CCD2E8" w14:textId="4CB7EE64" w:rsidR="00D3609A" w:rsidRDefault="00D3609A" w:rsidP="00D3609A">
      <w:pPr>
        <w:ind w:left="709"/>
        <w:jc w:val="both"/>
        <w:rPr>
          <w:b/>
          <w:color w:val="000000" w:themeColor="text1"/>
          <w:sz w:val="20"/>
          <w:szCs w:val="20"/>
        </w:rPr>
      </w:pPr>
      <w:r>
        <w:rPr>
          <w:b/>
          <w:color w:val="000000" w:themeColor="text1"/>
          <w:sz w:val="20"/>
        </w:rPr>
        <w:t>Module 1 –Product and process certification</w:t>
      </w:r>
    </w:p>
    <w:p w14:paraId="19A16AF7" w14:textId="77777777" w:rsidR="00D3609A" w:rsidRPr="002C4E93" w:rsidRDefault="00D3609A" w:rsidP="00D3609A">
      <w:pPr>
        <w:ind w:left="709"/>
        <w:jc w:val="both"/>
        <w:rPr>
          <w:smallCaps/>
          <w:color w:val="000000" w:themeColor="text1"/>
          <w:sz w:val="20"/>
          <w:szCs w:val="20"/>
        </w:rPr>
      </w:pPr>
      <w:proofErr w:type="spellStart"/>
      <w:r>
        <w:rPr>
          <w:smallCaps/>
          <w:color w:val="000000" w:themeColor="text1"/>
          <w:sz w:val="20"/>
        </w:rPr>
        <w:t>Prof.</w:t>
      </w:r>
      <w:proofErr w:type="spellEnd"/>
      <w:r>
        <w:rPr>
          <w:smallCaps/>
          <w:color w:val="000000" w:themeColor="text1"/>
          <w:sz w:val="20"/>
        </w:rPr>
        <w:t xml:space="preserve"> Ester Pietta</w:t>
      </w:r>
    </w:p>
    <w:p w14:paraId="60913875" w14:textId="77777777" w:rsidR="00D3609A" w:rsidRPr="002C4E93" w:rsidRDefault="00D3609A" w:rsidP="00D3609A">
      <w:pPr>
        <w:spacing w:before="240" w:after="120"/>
        <w:ind w:left="709"/>
        <w:jc w:val="both"/>
        <w:rPr>
          <w:b/>
          <w:i/>
          <w:sz w:val="20"/>
          <w:szCs w:val="20"/>
        </w:rPr>
      </w:pPr>
      <w:r>
        <w:rPr>
          <w:b/>
          <w:i/>
          <w:sz w:val="20"/>
        </w:rPr>
        <w:t>COURSE AIMS AND INTENDED LEARNING OUTCOMES</w:t>
      </w:r>
    </w:p>
    <w:p w14:paraId="3E2FB938" w14:textId="01C3D595" w:rsidR="00D3609A" w:rsidRDefault="00D3609A" w:rsidP="00D3609A">
      <w:pPr>
        <w:ind w:left="709"/>
        <w:jc w:val="both"/>
        <w:rPr>
          <w:color w:val="000000" w:themeColor="text1"/>
          <w:sz w:val="20"/>
          <w:szCs w:val="20"/>
        </w:rPr>
      </w:pPr>
      <w:r>
        <w:rPr>
          <w:color w:val="000000" w:themeColor="text1"/>
          <w:sz w:val="20"/>
        </w:rPr>
        <w:t xml:space="preserve">The course aims to illustrate the essential elements and methodologies for the management of food quality and safety all along the </w:t>
      </w:r>
      <w:proofErr w:type="spellStart"/>
      <w:r>
        <w:rPr>
          <w:color w:val="000000" w:themeColor="text1"/>
          <w:sz w:val="20"/>
        </w:rPr>
        <w:t>agri</w:t>
      </w:r>
      <w:proofErr w:type="spellEnd"/>
      <w:r>
        <w:rPr>
          <w:color w:val="000000" w:themeColor="text1"/>
          <w:sz w:val="20"/>
        </w:rPr>
        <w:t xml:space="preserve">-food supply chain, in accordance with the main requirements laid down by the EU and </w:t>
      </w:r>
      <w:proofErr w:type="gramStart"/>
      <w:r>
        <w:rPr>
          <w:color w:val="000000" w:themeColor="text1"/>
          <w:sz w:val="20"/>
        </w:rPr>
        <w:t>international</w:t>
      </w:r>
      <w:proofErr w:type="gramEnd"/>
      <w:r>
        <w:rPr>
          <w:color w:val="000000" w:themeColor="text1"/>
          <w:sz w:val="20"/>
        </w:rPr>
        <w:t xml:space="preserve"> regulations. Furthermo</w:t>
      </w:r>
      <w:r w:rsidR="00854DBA">
        <w:rPr>
          <w:color w:val="000000" w:themeColor="text1"/>
          <w:sz w:val="20"/>
        </w:rPr>
        <w:t>re, the course aims to carry out</w:t>
      </w:r>
      <w:r>
        <w:rPr>
          <w:color w:val="000000" w:themeColor="text1"/>
          <w:sz w:val="20"/>
        </w:rPr>
        <w:t xml:space="preserve"> an in-depth analysis of the principles, the applications, and the relevance, for the companies of the </w:t>
      </w:r>
      <w:proofErr w:type="spellStart"/>
      <w:r>
        <w:rPr>
          <w:color w:val="000000" w:themeColor="text1"/>
          <w:sz w:val="20"/>
        </w:rPr>
        <w:t>agri</w:t>
      </w:r>
      <w:proofErr w:type="spellEnd"/>
      <w:r>
        <w:rPr>
          <w:color w:val="000000" w:themeColor="text1"/>
          <w:sz w:val="20"/>
        </w:rPr>
        <w:t xml:space="preserve">-food industry, of the most widespread schemes for the certification of products and systems.  </w:t>
      </w:r>
    </w:p>
    <w:p w14:paraId="5BBFEC47" w14:textId="68F00C8E" w:rsidR="00D3609A" w:rsidRPr="00A85566" w:rsidRDefault="00D3609A" w:rsidP="006A296F">
      <w:pPr>
        <w:ind w:left="709"/>
        <w:jc w:val="both"/>
        <w:rPr>
          <w:color w:val="000000" w:themeColor="text1"/>
          <w:sz w:val="20"/>
          <w:szCs w:val="20"/>
        </w:rPr>
      </w:pPr>
      <w:r>
        <w:rPr>
          <w:sz w:val="20"/>
        </w:rPr>
        <w:t>At the end of the course, students will be able to acquire the tools they need for a critical analysis of the processes involved in the management of food quality and safety.</w:t>
      </w:r>
      <w:r>
        <w:rPr>
          <w:color w:val="000000" w:themeColor="text1"/>
          <w:sz w:val="20"/>
        </w:rPr>
        <w:t xml:space="preserve"> In addition, they will be able to identify and promote the different international certifications as a priority tool to implement the quality of </w:t>
      </w:r>
      <w:proofErr w:type="spellStart"/>
      <w:r>
        <w:rPr>
          <w:color w:val="000000" w:themeColor="text1"/>
          <w:sz w:val="20"/>
        </w:rPr>
        <w:t>agri</w:t>
      </w:r>
      <w:proofErr w:type="spellEnd"/>
      <w:r>
        <w:rPr>
          <w:color w:val="000000" w:themeColor="text1"/>
          <w:sz w:val="20"/>
        </w:rPr>
        <w:t xml:space="preserve">-food productions, improve business efficiency, and meet the competitive needs of </w:t>
      </w:r>
      <w:proofErr w:type="spellStart"/>
      <w:r>
        <w:rPr>
          <w:color w:val="000000" w:themeColor="text1"/>
          <w:sz w:val="20"/>
        </w:rPr>
        <w:t>agri</w:t>
      </w:r>
      <w:proofErr w:type="spellEnd"/>
      <w:r>
        <w:rPr>
          <w:color w:val="000000" w:themeColor="text1"/>
          <w:sz w:val="20"/>
        </w:rPr>
        <w:t xml:space="preserve">-food companies in local and foreign markets.   </w:t>
      </w:r>
    </w:p>
    <w:p w14:paraId="6CD83A01" w14:textId="77777777" w:rsidR="00D3609A" w:rsidRPr="002C4E93" w:rsidRDefault="00D3609A" w:rsidP="00D3609A">
      <w:pPr>
        <w:spacing w:before="240" w:after="120"/>
        <w:ind w:left="709"/>
        <w:jc w:val="both"/>
        <w:rPr>
          <w:b/>
          <w:i/>
          <w:color w:val="000000" w:themeColor="text1"/>
          <w:sz w:val="20"/>
          <w:szCs w:val="20"/>
        </w:rPr>
      </w:pPr>
      <w:r>
        <w:rPr>
          <w:b/>
          <w:i/>
          <w:color w:val="000000" w:themeColor="text1"/>
          <w:sz w:val="20"/>
        </w:rPr>
        <w:t>COURSE CONTENT</w:t>
      </w:r>
    </w:p>
    <w:p w14:paraId="3E362CE1" w14:textId="14E5152D" w:rsidR="00D3609A" w:rsidRPr="00927F67" w:rsidRDefault="00D3609A" w:rsidP="00D3609A">
      <w:pPr>
        <w:ind w:left="709"/>
        <w:jc w:val="both"/>
        <w:rPr>
          <w:rFonts w:cs="Times"/>
          <w:b/>
          <w:sz w:val="20"/>
          <w:szCs w:val="18"/>
        </w:rPr>
      </w:pPr>
      <w:r>
        <w:rPr>
          <w:b/>
          <w:sz w:val="20"/>
        </w:rPr>
        <w:t xml:space="preserve">The European approach to food safety and the regulatory environment </w:t>
      </w:r>
    </w:p>
    <w:p w14:paraId="3F647899" w14:textId="77777777" w:rsidR="00D3609A" w:rsidRPr="004B5BCE" w:rsidRDefault="00D3609A" w:rsidP="00D3609A">
      <w:pPr>
        <w:pStyle w:val="Paragrafoelenco"/>
        <w:numPr>
          <w:ilvl w:val="0"/>
          <w:numId w:val="8"/>
        </w:numPr>
        <w:jc w:val="both"/>
        <w:rPr>
          <w:rFonts w:cs="Times"/>
          <w:bCs/>
          <w:sz w:val="20"/>
          <w:szCs w:val="18"/>
        </w:rPr>
      </w:pPr>
      <w:r>
        <w:rPr>
          <w:sz w:val="20"/>
        </w:rPr>
        <w:t xml:space="preserve">The ‘from farm to fork’ integrated approach to food safety. </w:t>
      </w:r>
    </w:p>
    <w:p w14:paraId="0C735CA7" w14:textId="77777777" w:rsidR="00D3609A" w:rsidRPr="004B5BCE" w:rsidRDefault="00D3609A" w:rsidP="00D3609A">
      <w:pPr>
        <w:pStyle w:val="Paragrafoelenco"/>
        <w:numPr>
          <w:ilvl w:val="0"/>
          <w:numId w:val="8"/>
        </w:numPr>
        <w:jc w:val="both"/>
        <w:rPr>
          <w:rFonts w:cs="Times"/>
          <w:bCs/>
          <w:sz w:val="20"/>
          <w:szCs w:val="18"/>
        </w:rPr>
      </w:pPr>
      <w:r>
        <w:rPr>
          <w:sz w:val="20"/>
        </w:rPr>
        <w:t xml:space="preserve">The </w:t>
      </w:r>
      <w:proofErr w:type="spellStart"/>
      <w:r>
        <w:rPr>
          <w:sz w:val="20"/>
        </w:rPr>
        <w:t>Reg</w:t>
      </w:r>
      <w:proofErr w:type="spellEnd"/>
      <w:r>
        <w:rPr>
          <w:sz w:val="20"/>
        </w:rPr>
        <w:t xml:space="preserve"> (EC) 178/2022: risk analysis; the European Food Safety Authority (EFSA); the Rapid Alert System for Food and Feed (RASSF)</w:t>
      </w:r>
      <w:proofErr w:type="gramStart"/>
      <w:r>
        <w:rPr>
          <w:sz w:val="20"/>
        </w:rPr>
        <w:t>;</w:t>
      </w:r>
      <w:proofErr w:type="gramEnd"/>
      <w:r>
        <w:rPr>
          <w:sz w:val="20"/>
        </w:rPr>
        <w:t xml:space="preserve"> traceability. </w:t>
      </w:r>
    </w:p>
    <w:p w14:paraId="40B628B1" w14:textId="77777777" w:rsidR="00D3609A" w:rsidRDefault="00D3609A" w:rsidP="00D3609A">
      <w:pPr>
        <w:pStyle w:val="Paragrafoelenco"/>
        <w:numPr>
          <w:ilvl w:val="0"/>
          <w:numId w:val="8"/>
        </w:numPr>
        <w:jc w:val="both"/>
        <w:rPr>
          <w:rFonts w:cs="Times"/>
          <w:bCs/>
          <w:sz w:val="20"/>
          <w:szCs w:val="18"/>
        </w:rPr>
      </w:pPr>
      <w:r>
        <w:rPr>
          <w:sz w:val="20"/>
        </w:rPr>
        <w:t xml:space="preserve">The ‘hygiene package’: The </w:t>
      </w:r>
      <w:proofErr w:type="spellStart"/>
      <w:r>
        <w:rPr>
          <w:sz w:val="20"/>
        </w:rPr>
        <w:t>Reg</w:t>
      </w:r>
      <w:proofErr w:type="spellEnd"/>
      <w:r>
        <w:rPr>
          <w:sz w:val="20"/>
        </w:rPr>
        <w:t xml:space="preserve"> (EC) 852/2004 and the </w:t>
      </w:r>
      <w:proofErr w:type="spellStart"/>
      <w:r>
        <w:rPr>
          <w:sz w:val="20"/>
        </w:rPr>
        <w:t>Reg</w:t>
      </w:r>
      <w:proofErr w:type="spellEnd"/>
      <w:r>
        <w:rPr>
          <w:sz w:val="20"/>
        </w:rPr>
        <w:t xml:space="preserve"> (EC) 853/2004. The </w:t>
      </w:r>
      <w:proofErr w:type="spellStart"/>
      <w:r>
        <w:rPr>
          <w:sz w:val="20"/>
        </w:rPr>
        <w:t>Reg</w:t>
      </w:r>
      <w:proofErr w:type="spellEnd"/>
      <w:r>
        <w:rPr>
          <w:sz w:val="20"/>
        </w:rPr>
        <w:t xml:space="preserve"> (UE) 2017/625. </w:t>
      </w:r>
    </w:p>
    <w:p w14:paraId="2743E6B8" w14:textId="77777777" w:rsidR="00D3609A" w:rsidRPr="00D37170" w:rsidRDefault="00D3609A" w:rsidP="00D3609A">
      <w:pPr>
        <w:pStyle w:val="Paragrafoelenco"/>
        <w:numPr>
          <w:ilvl w:val="0"/>
          <w:numId w:val="8"/>
        </w:numPr>
        <w:jc w:val="both"/>
        <w:rPr>
          <w:rFonts w:cs="Times"/>
          <w:bCs/>
          <w:sz w:val="20"/>
          <w:szCs w:val="18"/>
        </w:rPr>
      </w:pPr>
      <w:r>
        <w:rPr>
          <w:color w:val="000000" w:themeColor="text1"/>
          <w:sz w:val="20"/>
        </w:rPr>
        <w:t xml:space="preserve">The basics for the management of hygiene in </w:t>
      </w:r>
      <w:proofErr w:type="spellStart"/>
      <w:r>
        <w:rPr>
          <w:color w:val="000000" w:themeColor="text1"/>
          <w:sz w:val="20"/>
        </w:rPr>
        <w:t>agri</w:t>
      </w:r>
      <w:proofErr w:type="spellEnd"/>
      <w:r>
        <w:rPr>
          <w:color w:val="000000" w:themeColor="text1"/>
          <w:sz w:val="20"/>
        </w:rPr>
        <w:t xml:space="preserve">-food companies. </w:t>
      </w:r>
    </w:p>
    <w:p w14:paraId="72F6E134" w14:textId="77777777" w:rsidR="00D3609A" w:rsidRDefault="00D3609A" w:rsidP="00D3609A">
      <w:pPr>
        <w:pStyle w:val="Paragrafoelenco"/>
        <w:numPr>
          <w:ilvl w:val="0"/>
          <w:numId w:val="8"/>
        </w:numPr>
        <w:jc w:val="both"/>
        <w:rPr>
          <w:rFonts w:cs="Times"/>
          <w:color w:val="000000" w:themeColor="text1"/>
          <w:sz w:val="20"/>
          <w:szCs w:val="20"/>
        </w:rPr>
      </w:pPr>
      <w:r>
        <w:rPr>
          <w:color w:val="000000" w:themeColor="text1"/>
          <w:sz w:val="20"/>
        </w:rPr>
        <w:t xml:space="preserve">The Good Manufacturing Practices and the Good Hygiene Practices manuals (GMP-GHP). </w:t>
      </w:r>
    </w:p>
    <w:p w14:paraId="042A8939" w14:textId="77777777" w:rsidR="00D3609A" w:rsidRPr="00681E6B" w:rsidRDefault="00D3609A" w:rsidP="00D3609A">
      <w:pPr>
        <w:pStyle w:val="Paragrafoelenco"/>
        <w:numPr>
          <w:ilvl w:val="0"/>
          <w:numId w:val="8"/>
        </w:numPr>
        <w:jc w:val="both"/>
        <w:rPr>
          <w:rFonts w:cs="Times"/>
          <w:color w:val="000000" w:themeColor="text1"/>
          <w:sz w:val="20"/>
          <w:szCs w:val="20"/>
        </w:rPr>
      </w:pPr>
      <w:r>
        <w:rPr>
          <w:color w:val="000000" w:themeColor="text1"/>
          <w:sz w:val="20"/>
        </w:rPr>
        <w:t xml:space="preserve">The HACCP: principles and application according to the Codex </w:t>
      </w:r>
      <w:proofErr w:type="spellStart"/>
      <w:r>
        <w:rPr>
          <w:color w:val="000000" w:themeColor="text1"/>
          <w:sz w:val="20"/>
        </w:rPr>
        <w:t>Alimentarius</w:t>
      </w:r>
      <w:proofErr w:type="spellEnd"/>
      <w:r>
        <w:rPr>
          <w:color w:val="000000" w:themeColor="text1"/>
          <w:sz w:val="20"/>
        </w:rPr>
        <w:t xml:space="preserve">. Examples of HACCP plans. </w:t>
      </w:r>
    </w:p>
    <w:p w14:paraId="6EDEF099" w14:textId="77777777" w:rsidR="00D3609A" w:rsidRPr="004B5BCE" w:rsidRDefault="00D3609A" w:rsidP="00D3609A">
      <w:pPr>
        <w:pStyle w:val="Paragrafoelenco"/>
        <w:numPr>
          <w:ilvl w:val="0"/>
          <w:numId w:val="8"/>
        </w:numPr>
        <w:jc w:val="both"/>
        <w:rPr>
          <w:rFonts w:cs="Times"/>
          <w:bCs/>
          <w:sz w:val="20"/>
          <w:szCs w:val="18"/>
        </w:rPr>
      </w:pPr>
      <w:r>
        <w:rPr>
          <w:sz w:val="20"/>
        </w:rPr>
        <w:t xml:space="preserve">The microbiological criteria according to the </w:t>
      </w:r>
      <w:proofErr w:type="spellStart"/>
      <w:r>
        <w:rPr>
          <w:sz w:val="20"/>
        </w:rPr>
        <w:t>Reg</w:t>
      </w:r>
      <w:proofErr w:type="spellEnd"/>
      <w:r>
        <w:rPr>
          <w:sz w:val="20"/>
        </w:rPr>
        <w:t xml:space="preserve"> (EC) 2073/2005</w:t>
      </w:r>
    </w:p>
    <w:p w14:paraId="79C113D1" w14:textId="77777777" w:rsidR="00D3609A" w:rsidRPr="00D37170" w:rsidRDefault="00D3609A" w:rsidP="00D3609A">
      <w:pPr>
        <w:pStyle w:val="Paragrafoelenco"/>
        <w:numPr>
          <w:ilvl w:val="0"/>
          <w:numId w:val="8"/>
        </w:numPr>
        <w:jc w:val="both"/>
        <w:rPr>
          <w:rFonts w:cs="Times"/>
          <w:bCs/>
          <w:sz w:val="20"/>
          <w:szCs w:val="18"/>
        </w:rPr>
      </w:pPr>
      <w:r>
        <w:rPr>
          <w:sz w:val="20"/>
        </w:rPr>
        <w:t xml:space="preserve">The labelling of foodstuffs according to the </w:t>
      </w:r>
      <w:proofErr w:type="spellStart"/>
      <w:r>
        <w:rPr>
          <w:sz w:val="20"/>
        </w:rPr>
        <w:t>Reg</w:t>
      </w:r>
      <w:proofErr w:type="spellEnd"/>
      <w:r>
        <w:rPr>
          <w:sz w:val="20"/>
        </w:rPr>
        <w:t xml:space="preserve"> (UE) 1169/2011, the </w:t>
      </w:r>
      <w:proofErr w:type="spellStart"/>
      <w:r>
        <w:rPr>
          <w:sz w:val="20"/>
        </w:rPr>
        <w:t>Reg</w:t>
      </w:r>
      <w:proofErr w:type="spellEnd"/>
      <w:r>
        <w:rPr>
          <w:sz w:val="20"/>
        </w:rPr>
        <w:t xml:space="preserve"> (UE) 775/2018. </w:t>
      </w:r>
      <w:r>
        <w:rPr>
          <w:color w:val="000000" w:themeColor="text1"/>
          <w:sz w:val="20"/>
        </w:rPr>
        <w:t xml:space="preserve"> </w:t>
      </w:r>
    </w:p>
    <w:p w14:paraId="7F222B0A" w14:textId="77777777" w:rsidR="00D3609A" w:rsidRPr="00D37170" w:rsidRDefault="00D3609A" w:rsidP="00D3609A">
      <w:pPr>
        <w:pStyle w:val="Paragrafoelenco"/>
        <w:numPr>
          <w:ilvl w:val="0"/>
          <w:numId w:val="8"/>
        </w:numPr>
        <w:jc w:val="both"/>
        <w:rPr>
          <w:rFonts w:cs="Times"/>
          <w:color w:val="000000" w:themeColor="text1"/>
          <w:sz w:val="20"/>
          <w:szCs w:val="20"/>
        </w:rPr>
      </w:pPr>
      <w:r>
        <w:rPr>
          <w:color w:val="000000" w:themeColor="text1"/>
          <w:sz w:val="20"/>
        </w:rPr>
        <w:t xml:space="preserve">The international environment and Food Protection (Food Fraud and Food Defence). </w:t>
      </w:r>
    </w:p>
    <w:p w14:paraId="5CDA110C" w14:textId="77777777" w:rsidR="00D3609A" w:rsidRPr="00D37170" w:rsidRDefault="00D3609A" w:rsidP="00D3609A">
      <w:pPr>
        <w:pStyle w:val="Paragrafoelenco"/>
        <w:ind w:left="1069"/>
        <w:jc w:val="both"/>
        <w:rPr>
          <w:rFonts w:cs="Times"/>
          <w:color w:val="000000" w:themeColor="text1"/>
          <w:sz w:val="20"/>
          <w:szCs w:val="20"/>
        </w:rPr>
      </w:pPr>
    </w:p>
    <w:p w14:paraId="34CCE149" w14:textId="4CB4D6FE" w:rsidR="00D3609A" w:rsidRDefault="00D3609A" w:rsidP="00D3609A">
      <w:pPr>
        <w:ind w:firstLine="708"/>
        <w:jc w:val="both"/>
        <w:rPr>
          <w:rFonts w:cs="Times"/>
          <w:b/>
          <w:color w:val="000000" w:themeColor="text1"/>
          <w:sz w:val="20"/>
          <w:szCs w:val="20"/>
        </w:rPr>
      </w:pPr>
      <w:r>
        <w:rPr>
          <w:b/>
          <w:color w:val="000000" w:themeColor="text1"/>
          <w:sz w:val="20"/>
        </w:rPr>
        <w:lastRenderedPageBreak/>
        <w:t xml:space="preserve">International certifications </w:t>
      </w:r>
    </w:p>
    <w:p w14:paraId="32EB84E3" w14:textId="77777777" w:rsidR="00D3609A" w:rsidRDefault="00D3609A" w:rsidP="00D3609A">
      <w:pPr>
        <w:pStyle w:val="Paragrafoelenco"/>
        <w:numPr>
          <w:ilvl w:val="0"/>
          <w:numId w:val="8"/>
        </w:numPr>
        <w:jc w:val="both"/>
        <w:rPr>
          <w:rFonts w:cs="Times"/>
          <w:bCs/>
          <w:color w:val="000000" w:themeColor="text1"/>
          <w:sz w:val="20"/>
          <w:szCs w:val="20"/>
        </w:rPr>
      </w:pPr>
      <w:r>
        <w:rPr>
          <w:color w:val="000000" w:themeColor="text1"/>
          <w:sz w:val="20"/>
        </w:rPr>
        <w:t>The accreditation and certification system.</w:t>
      </w:r>
    </w:p>
    <w:p w14:paraId="1055CA5D" w14:textId="77777777" w:rsidR="00D3609A" w:rsidRPr="004B5BCE" w:rsidRDefault="00D3609A" w:rsidP="00D3609A">
      <w:pPr>
        <w:pStyle w:val="Paragrafoelenco"/>
        <w:numPr>
          <w:ilvl w:val="0"/>
          <w:numId w:val="8"/>
        </w:numPr>
        <w:jc w:val="both"/>
        <w:rPr>
          <w:rFonts w:cs="Times"/>
          <w:bCs/>
          <w:color w:val="000000" w:themeColor="text1"/>
          <w:sz w:val="20"/>
          <w:szCs w:val="20"/>
        </w:rPr>
      </w:pPr>
      <w:r>
        <w:rPr>
          <w:color w:val="000000" w:themeColor="text1"/>
          <w:sz w:val="20"/>
        </w:rPr>
        <w:t xml:space="preserve">Principles, application, and relevance, for the companies of the </w:t>
      </w:r>
      <w:proofErr w:type="spellStart"/>
      <w:r>
        <w:rPr>
          <w:color w:val="000000" w:themeColor="text1"/>
          <w:sz w:val="20"/>
        </w:rPr>
        <w:t>agri</w:t>
      </w:r>
      <w:proofErr w:type="spellEnd"/>
      <w:r>
        <w:rPr>
          <w:color w:val="000000" w:themeColor="text1"/>
          <w:sz w:val="20"/>
        </w:rPr>
        <w:t>-food industry, of the most widespread system certifications: ISO 9001:2015 (quality management system), ISO 22000:2018 (</w:t>
      </w:r>
      <w:proofErr w:type="gramStart"/>
      <w:r>
        <w:rPr>
          <w:color w:val="000000" w:themeColor="text1"/>
          <w:sz w:val="20"/>
        </w:rPr>
        <w:t>food safety management system</w:t>
      </w:r>
      <w:proofErr w:type="gramEnd"/>
      <w:r>
        <w:rPr>
          <w:color w:val="000000" w:themeColor="text1"/>
          <w:sz w:val="20"/>
        </w:rPr>
        <w:t>).</w:t>
      </w:r>
    </w:p>
    <w:p w14:paraId="464119B7" w14:textId="77777777" w:rsidR="00D3609A" w:rsidRPr="00A473C6" w:rsidRDefault="00D3609A" w:rsidP="00D3609A">
      <w:pPr>
        <w:pStyle w:val="Paragrafoelenco"/>
        <w:numPr>
          <w:ilvl w:val="0"/>
          <w:numId w:val="8"/>
        </w:numPr>
        <w:jc w:val="both"/>
      </w:pPr>
      <w:r>
        <w:rPr>
          <w:color w:val="000000" w:themeColor="text1"/>
          <w:sz w:val="20"/>
        </w:rPr>
        <w:t xml:space="preserve">Principles, application, and relevance, for the companies of the </w:t>
      </w:r>
      <w:proofErr w:type="spellStart"/>
      <w:r>
        <w:rPr>
          <w:color w:val="000000" w:themeColor="text1"/>
          <w:sz w:val="20"/>
        </w:rPr>
        <w:t>agri</w:t>
      </w:r>
      <w:proofErr w:type="spellEnd"/>
      <w:r>
        <w:rPr>
          <w:color w:val="000000" w:themeColor="text1"/>
          <w:sz w:val="20"/>
        </w:rPr>
        <w:t xml:space="preserve">-food industry, of the most widespread product certifications: </w:t>
      </w:r>
      <w:r>
        <w:rPr>
          <w:sz w:val="20"/>
        </w:rPr>
        <w:t>BRC Global Standard for Food Safety</w:t>
      </w:r>
      <w:r>
        <w:rPr>
          <w:color w:val="000000" w:themeColor="text1"/>
          <w:sz w:val="20"/>
        </w:rPr>
        <w:t xml:space="preserve">, </w:t>
      </w:r>
      <w:r>
        <w:rPr>
          <w:sz w:val="20"/>
        </w:rPr>
        <w:t xml:space="preserve">IFS Food, FSSC 22000, Global G.A.P., GMP +, ISO 22005:2008, Non-GMO, Organic, FAIRTRADE, UTZ, Halal, Kosher. The voluntary certifications of food with specific characteristics (‘free </w:t>
      </w:r>
      <w:proofErr w:type="gramStart"/>
      <w:r>
        <w:rPr>
          <w:sz w:val="20"/>
        </w:rPr>
        <w:t>from’, ...)</w:t>
      </w:r>
      <w:proofErr w:type="gramEnd"/>
      <w:r>
        <w:rPr>
          <w:sz w:val="20"/>
        </w:rPr>
        <w:t xml:space="preserve">, sustainability certifications. Official accreditation certifications (DOP, IGP, STG). </w:t>
      </w:r>
    </w:p>
    <w:p w14:paraId="00293545" w14:textId="77777777" w:rsidR="00D3609A" w:rsidRPr="002C4E93" w:rsidRDefault="00D3609A" w:rsidP="00D3609A">
      <w:pPr>
        <w:keepNext/>
        <w:spacing w:before="240" w:after="120"/>
        <w:ind w:left="709"/>
        <w:jc w:val="both"/>
        <w:rPr>
          <w:b/>
          <w:color w:val="000000" w:themeColor="text1"/>
          <w:sz w:val="20"/>
          <w:szCs w:val="20"/>
        </w:rPr>
      </w:pPr>
      <w:r>
        <w:rPr>
          <w:b/>
          <w:i/>
          <w:color w:val="000000" w:themeColor="text1"/>
          <w:sz w:val="20"/>
        </w:rPr>
        <w:t>READING LIST</w:t>
      </w:r>
    </w:p>
    <w:p w14:paraId="47ED3B22" w14:textId="77777777" w:rsidR="00D3609A" w:rsidRPr="00486F88" w:rsidRDefault="00D3609A" w:rsidP="00D3609A">
      <w:pPr>
        <w:ind w:left="709"/>
        <w:contextualSpacing/>
        <w:jc w:val="both"/>
        <w:rPr>
          <w:color w:val="000000" w:themeColor="text1"/>
          <w:sz w:val="20"/>
          <w:szCs w:val="20"/>
        </w:rPr>
      </w:pPr>
      <w:r>
        <w:rPr>
          <w:rFonts w:ascii="Times" w:hAnsi="Times"/>
          <w:color w:val="000000" w:themeColor="text1"/>
          <w:sz w:val="20"/>
        </w:rPr>
        <w:t xml:space="preserve">Further information on the reading list and the supplementary teaching material </w:t>
      </w:r>
      <w:proofErr w:type="gramStart"/>
      <w:r>
        <w:rPr>
          <w:rFonts w:ascii="Times" w:hAnsi="Times"/>
          <w:color w:val="000000" w:themeColor="text1"/>
          <w:sz w:val="20"/>
        </w:rPr>
        <w:t>will be made</w:t>
      </w:r>
      <w:proofErr w:type="gramEnd"/>
      <w:r>
        <w:rPr>
          <w:rFonts w:ascii="Times" w:hAnsi="Times"/>
          <w:color w:val="000000" w:themeColor="text1"/>
          <w:sz w:val="20"/>
        </w:rPr>
        <w:t xml:space="preserve"> available during the lectures. </w:t>
      </w:r>
    </w:p>
    <w:p w14:paraId="3D62F458" w14:textId="77777777" w:rsidR="00D3609A" w:rsidRPr="002C4E93" w:rsidRDefault="00D3609A" w:rsidP="00D3609A">
      <w:pPr>
        <w:spacing w:before="240" w:after="120"/>
        <w:ind w:left="709"/>
        <w:jc w:val="both"/>
        <w:rPr>
          <w:b/>
          <w:i/>
          <w:color w:val="000000" w:themeColor="text1"/>
          <w:sz w:val="20"/>
          <w:szCs w:val="20"/>
        </w:rPr>
      </w:pPr>
      <w:r>
        <w:rPr>
          <w:b/>
          <w:i/>
          <w:color w:val="000000" w:themeColor="text1"/>
          <w:sz w:val="20"/>
        </w:rPr>
        <w:t>TEACHING METHOD</w:t>
      </w:r>
    </w:p>
    <w:p w14:paraId="1844983B" w14:textId="77777777" w:rsidR="00D3609A" w:rsidRPr="002C4E93" w:rsidRDefault="00D3609A" w:rsidP="00D3609A">
      <w:pPr>
        <w:ind w:left="709"/>
        <w:jc w:val="both"/>
        <w:rPr>
          <w:rFonts w:ascii="Times" w:hAnsi="Times"/>
          <w:noProof/>
          <w:color w:val="000000" w:themeColor="text1"/>
          <w:sz w:val="20"/>
          <w:szCs w:val="20"/>
        </w:rPr>
      </w:pPr>
      <w:r>
        <w:rPr>
          <w:rFonts w:ascii="Times" w:hAnsi="Times"/>
          <w:color w:val="000000" w:themeColor="text1"/>
          <w:sz w:val="20"/>
        </w:rPr>
        <w:t xml:space="preserve">Frontal lectures and case studies. In order to help students get the most out of this course, some of the lectures </w:t>
      </w:r>
      <w:proofErr w:type="gramStart"/>
      <w:r>
        <w:rPr>
          <w:rFonts w:ascii="Times" w:hAnsi="Times"/>
          <w:color w:val="000000" w:themeColor="text1"/>
          <w:sz w:val="20"/>
        </w:rPr>
        <w:t>will be held</w:t>
      </w:r>
      <w:proofErr w:type="gramEnd"/>
      <w:r>
        <w:rPr>
          <w:rFonts w:ascii="Times" w:hAnsi="Times"/>
          <w:color w:val="000000" w:themeColor="text1"/>
          <w:sz w:val="20"/>
        </w:rPr>
        <w:t xml:space="preserve"> by subject-matter experts with practical and business experience, in collaboration with the lecturer.</w:t>
      </w:r>
    </w:p>
    <w:p w14:paraId="1A90D51F" w14:textId="5C1E8BBC" w:rsidR="00D3609A" w:rsidRPr="006A296F" w:rsidRDefault="00D3609A" w:rsidP="00D3609A">
      <w:pPr>
        <w:tabs>
          <w:tab w:val="left" w:pos="6663"/>
        </w:tabs>
        <w:spacing w:before="240" w:after="120" w:line="220" w:lineRule="exact"/>
        <w:ind w:left="708" w:right="27"/>
        <w:jc w:val="both"/>
        <w:rPr>
          <w:rFonts w:ascii="Times" w:hAnsi="Times" w:cs="Times"/>
          <w:b/>
          <w:i/>
          <w:sz w:val="20"/>
          <w:szCs w:val="20"/>
        </w:rPr>
      </w:pPr>
      <w:r>
        <w:rPr>
          <w:rFonts w:ascii="Times" w:hAnsi="Times"/>
          <w:b/>
          <w:i/>
          <w:sz w:val="20"/>
        </w:rPr>
        <w:t>ASSESSMENT METHOD AND CRITERIA</w:t>
      </w:r>
    </w:p>
    <w:p w14:paraId="37111E3F" w14:textId="1C6E0DF5" w:rsidR="00D3609A" w:rsidRPr="00854DBA" w:rsidRDefault="00D3609A" w:rsidP="00854DBA">
      <w:pPr>
        <w:ind w:left="709"/>
        <w:jc w:val="both"/>
        <w:rPr>
          <w:rFonts w:ascii="Times" w:hAnsi="Times"/>
          <w:noProof/>
          <w:color w:val="000000" w:themeColor="text1"/>
          <w:sz w:val="20"/>
          <w:szCs w:val="20"/>
        </w:rPr>
      </w:pPr>
      <w:r>
        <w:rPr>
          <w:rFonts w:ascii="Times" w:hAnsi="Times"/>
          <w:color w:val="000000" w:themeColor="text1"/>
          <w:sz w:val="20"/>
        </w:rPr>
        <w:t xml:space="preserve">The assessment will consist </w:t>
      </w:r>
      <w:r w:rsidR="000C3F00">
        <w:rPr>
          <w:rFonts w:ascii="Times" w:hAnsi="Times"/>
          <w:color w:val="000000" w:themeColor="text1"/>
          <w:sz w:val="20"/>
        </w:rPr>
        <w:t>of</w:t>
      </w:r>
      <w:r>
        <w:rPr>
          <w:rFonts w:ascii="Times" w:hAnsi="Times"/>
          <w:color w:val="000000" w:themeColor="text1"/>
          <w:sz w:val="20"/>
        </w:rPr>
        <w:t xml:space="preserve"> an oral or a written test at the end of the course, including the discussion of a paper developed by students and focused on specific topics analysed during the presentation of case studies. The exam aims to </w:t>
      </w:r>
      <w:r>
        <w:rPr>
          <w:color w:val="000000" w:themeColor="text1"/>
          <w:sz w:val="20"/>
        </w:rPr>
        <w:t>assess the students’ theoretical and reasoning skills</w:t>
      </w:r>
      <w:r>
        <w:rPr>
          <w:rFonts w:ascii="Times" w:hAnsi="Times"/>
          <w:color w:val="000000" w:themeColor="text1"/>
          <w:sz w:val="20"/>
        </w:rPr>
        <w:t>.</w:t>
      </w:r>
    </w:p>
    <w:p w14:paraId="26C2336D" w14:textId="15DF5B8A" w:rsidR="00D3609A" w:rsidRPr="00854DBA" w:rsidRDefault="00854DBA" w:rsidP="00854DBA">
      <w:pPr>
        <w:tabs>
          <w:tab w:val="left" w:pos="6663"/>
        </w:tabs>
        <w:spacing w:before="240" w:after="120" w:line="220" w:lineRule="exact"/>
        <w:ind w:left="708" w:right="27"/>
        <w:jc w:val="both"/>
        <w:rPr>
          <w:rFonts w:ascii="Times" w:hAnsi="Times"/>
          <w:b/>
          <w:i/>
          <w:sz w:val="20"/>
        </w:rPr>
      </w:pPr>
      <w:r w:rsidRPr="00854DBA">
        <w:rPr>
          <w:rFonts w:ascii="Times" w:hAnsi="Times"/>
          <w:b/>
          <w:i/>
          <w:sz w:val="20"/>
        </w:rPr>
        <w:t>NOTES AND PREREQUISITES</w:t>
      </w:r>
    </w:p>
    <w:p w14:paraId="4AD23564" w14:textId="75A793A3" w:rsidR="006A296F" w:rsidRPr="00854DBA" w:rsidRDefault="00854DBA" w:rsidP="00854DBA">
      <w:pPr>
        <w:tabs>
          <w:tab w:val="left" w:pos="708"/>
        </w:tabs>
        <w:ind w:left="709"/>
        <w:jc w:val="both"/>
        <w:rPr>
          <w:b/>
          <w:sz w:val="20"/>
          <w:szCs w:val="20"/>
        </w:rPr>
      </w:pPr>
      <w:r w:rsidRPr="00854DBA">
        <w:rPr>
          <w:color w:val="000000" w:themeColor="text1"/>
          <w:sz w:val="20"/>
        </w:rPr>
        <w:t>Information on office hours available on the teacher's personal page at http://docenti.unicatt.it/.</w:t>
      </w:r>
      <w:r w:rsidR="006A296F" w:rsidRPr="00854DBA">
        <w:br w:type="page"/>
      </w:r>
    </w:p>
    <w:p w14:paraId="0C66EE3B" w14:textId="7B140A0B" w:rsidR="008C688D" w:rsidRPr="002C4E93" w:rsidRDefault="003E1E6B" w:rsidP="000F5BBA">
      <w:pPr>
        <w:ind w:left="709"/>
        <w:rPr>
          <w:b/>
          <w:sz w:val="20"/>
          <w:szCs w:val="20"/>
        </w:rPr>
      </w:pPr>
      <w:r>
        <w:rPr>
          <w:b/>
          <w:sz w:val="20"/>
        </w:rPr>
        <w:lastRenderedPageBreak/>
        <w:t xml:space="preserve">Module 2 – Quality and </w:t>
      </w:r>
      <w:proofErr w:type="spellStart"/>
      <w:r>
        <w:rPr>
          <w:b/>
          <w:sz w:val="20"/>
        </w:rPr>
        <w:t>Agri</w:t>
      </w:r>
      <w:proofErr w:type="spellEnd"/>
      <w:r>
        <w:rPr>
          <w:b/>
          <w:sz w:val="20"/>
        </w:rPr>
        <w:t xml:space="preserve">-Food Markets  </w:t>
      </w:r>
    </w:p>
    <w:p w14:paraId="63CE11C4" w14:textId="24B8E456" w:rsidR="008C688D" w:rsidRPr="002C4E93" w:rsidRDefault="008C688D" w:rsidP="000F5BBA">
      <w:pPr>
        <w:ind w:left="709"/>
        <w:rPr>
          <w:smallCaps/>
          <w:sz w:val="20"/>
          <w:szCs w:val="20"/>
        </w:rPr>
      </w:pPr>
      <w:proofErr w:type="spellStart"/>
      <w:r>
        <w:rPr>
          <w:smallCaps/>
          <w:sz w:val="20"/>
        </w:rPr>
        <w:t>Prof.</w:t>
      </w:r>
      <w:proofErr w:type="spellEnd"/>
      <w:r>
        <w:rPr>
          <w:smallCaps/>
          <w:sz w:val="20"/>
        </w:rPr>
        <w:t xml:space="preserve"> Daniele Moro</w:t>
      </w:r>
    </w:p>
    <w:p w14:paraId="738C7F37" w14:textId="6CB85850" w:rsidR="008C688D" w:rsidRPr="002C4E93" w:rsidRDefault="008C688D" w:rsidP="000F5BBA">
      <w:pPr>
        <w:spacing w:before="240" w:after="120"/>
        <w:ind w:left="709"/>
        <w:jc w:val="both"/>
        <w:rPr>
          <w:b/>
          <w:i/>
          <w:sz w:val="20"/>
          <w:szCs w:val="20"/>
        </w:rPr>
      </w:pPr>
      <w:r>
        <w:rPr>
          <w:b/>
          <w:i/>
          <w:sz w:val="20"/>
        </w:rPr>
        <w:t>COURSE AIMS AND INTENDED LEARNING OUTCOMES</w:t>
      </w:r>
    </w:p>
    <w:p w14:paraId="6FF95A36" w14:textId="54CFBDAA" w:rsidR="008C688D" w:rsidRPr="002C4E93" w:rsidRDefault="00383DCD" w:rsidP="000F5BBA">
      <w:pPr>
        <w:ind w:left="709"/>
        <w:jc w:val="both"/>
        <w:rPr>
          <w:sz w:val="20"/>
          <w:szCs w:val="20"/>
        </w:rPr>
      </w:pPr>
      <w:r>
        <w:rPr>
          <w:sz w:val="20"/>
        </w:rPr>
        <w:t xml:space="preserve">The course aims to provide the tools to understand how </w:t>
      </w:r>
      <w:proofErr w:type="spellStart"/>
      <w:r>
        <w:rPr>
          <w:sz w:val="20"/>
        </w:rPr>
        <w:t>agri</w:t>
      </w:r>
      <w:proofErr w:type="spellEnd"/>
      <w:r>
        <w:rPr>
          <w:sz w:val="20"/>
        </w:rPr>
        <w:t>-food markets and the transmission processes along the supply chain work, considering the characteristics of agricultural supply and food demand, the structure of market margins, and the role played by trade and sector-specific policies. In particular, it will focus on the problems related to the quality of products, and its effects on consumption choices and the characteristics of agricultural production, transformation and distribution, and therefore to product differentiation and quality improvement strategies.</w:t>
      </w:r>
    </w:p>
    <w:p w14:paraId="5DBCDD0B" w14:textId="0E29D696" w:rsidR="00383DCD" w:rsidRPr="002C4E93" w:rsidRDefault="00383DCD" w:rsidP="000F5BBA">
      <w:pPr>
        <w:ind w:left="709"/>
        <w:jc w:val="both"/>
        <w:rPr>
          <w:sz w:val="20"/>
          <w:szCs w:val="20"/>
        </w:rPr>
      </w:pPr>
      <w:proofErr w:type="gramStart"/>
      <w:r>
        <w:rPr>
          <w:sz w:val="20"/>
        </w:rPr>
        <w:t xml:space="preserve">At the end of the course, students will be able to acquire the tools they need for a critical analysis of the market phenomena that can occur along </w:t>
      </w:r>
      <w:proofErr w:type="spellStart"/>
      <w:r>
        <w:rPr>
          <w:sz w:val="20"/>
        </w:rPr>
        <w:t>agri</w:t>
      </w:r>
      <w:proofErr w:type="spellEnd"/>
      <w:r>
        <w:rPr>
          <w:sz w:val="20"/>
        </w:rPr>
        <w:t xml:space="preserve">-food supply chains, in order to implement adequate response strategies and guarantee the functionality of the supply chains and the positioning and marketing capacities of companies, and, in particular, carry out a critical analysis of the implications of the main instruments for the improvement of the quality of </w:t>
      </w:r>
      <w:proofErr w:type="spellStart"/>
      <w:r>
        <w:rPr>
          <w:sz w:val="20"/>
        </w:rPr>
        <w:t>agri</w:t>
      </w:r>
      <w:proofErr w:type="spellEnd"/>
      <w:r>
        <w:rPr>
          <w:sz w:val="20"/>
        </w:rPr>
        <w:t>-food products.</w:t>
      </w:r>
      <w:proofErr w:type="gramEnd"/>
    </w:p>
    <w:p w14:paraId="3AE3D5C3" w14:textId="77777777" w:rsidR="008C688D" w:rsidRPr="002C4E93" w:rsidRDefault="008C688D" w:rsidP="000F5BBA">
      <w:pPr>
        <w:spacing w:before="240" w:after="120"/>
        <w:ind w:left="709"/>
        <w:jc w:val="both"/>
        <w:rPr>
          <w:sz w:val="20"/>
          <w:szCs w:val="20"/>
        </w:rPr>
      </w:pPr>
      <w:r>
        <w:rPr>
          <w:b/>
          <w:i/>
          <w:sz w:val="20"/>
        </w:rPr>
        <w:t>COURSE CONTENT</w:t>
      </w:r>
    </w:p>
    <w:p w14:paraId="56AD6936" w14:textId="77777777" w:rsidR="00383DCD" w:rsidRPr="002C4E93" w:rsidRDefault="00383DCD" w:rsidP="000F5BBA">
      <w:pPr>
        <w:tabs>
          <w:tab w:val="left" w:pos="567"/>
        </w:tabs>
        <w:ind w:left="709"/>
        <w:jc w:val="both"/>
        <w:rPr>
          <w:sz w:val="20"/>
          <w:szCs w:val="20"/>
        </w:rPr>
      </w:pPr>
      <w:r>
        <w:rPr>
          <w:sz w:val="20"/>
        </w:rPr>
        <w:t>The different approaches to the definition of quality.</w:t>
      </w:r>
    </w:p>
    <w:p w14:paraId="6061831D" w14:textId="0966F066" w:rsidR="00D3609A" w:rsidRPr="002C4E93" w:rsidRDefault="00D3609A" w:rsidP="00D3609A">
      <w:pPr>
        <w:tabs>
          <w:tab w:val="left" w:pos="567"/>
        </w:tabs>
        <w:ind w:left="709"/>
        <w:jc w:val="both"/>
        <w:rPr>
          <w:sz w:val="20"/>
          <w:szCs w:val="20"/>
        </w:rPr>
      </w:pPr>
      <w:r>
        <w:rPr>
          <w:sz w:val="20"/>
        </w:rPr>
        <w:t xml:space="preserve">Food demand: foundations, distinctive features, the main evolutionary phenomena, with a focus on </w:t>
      </w:r>
      <w:r w:rsidR="00854DBA">
        <w:rPr>
          <w:sz w:val="20"/>
        </w:rPr>
        <w:t>food quality</w:t>
      </w:r>
      <w:r>
        <w:rPr>
          <w:sz w:val="20"/>
        </w:rPr>
        <w:t xml:space="preserve">. </w:t>
      </w:r>
    </w:p>
    <w:p w14:paraId="17EFC734" w14:textId="77777777" w:rsidR="00D3609A" w:rsidRPr="002C4E93" w:rsidRDefault="00D3609A" w:rsidP="00D3609A">
      <w:pPr>
        <w:ind w:left="709"/>
        <w:jc w:val="both"/>
        <w:rPr>
          <w:sz w:val="20"/>
          <w:szCs w:val="20"/>
        </w:rPr>
      </w:pPr>
      <w:r>
        <w:rPr>
          <w:sz w:val="20"/>
        </w:rPr>
        <w:t>The market system: the role of producer markets, market margins, the transmission of information along the supply chain.</w:t>
      </w:r>
    </w:p>
    <w:p w14:paraId="08653D64" w14:textId="2694BBC4" w:rsidR="00383DCD" w:rsidRPr="002C4E93" w:rsidRDefault="00383DCD" w:rsidP="00D3609A">
      <w:pPr>
        <w:ind w:left="709" w:hanging="1"/>
        <w:jc w:val="both"/>
        <w:rPr>
          <w:sz w:val="20"/>
          <w:szCs w:val="20"/>
        </w:rPr>
      </w:pPr>
      <w:r>
        <w:rPr>
          <w:sz w:val="20"/>
        </w:rPr>
        <w:t>The different dimensions of quality, information a</w:t>
      </w:r>
      <w:r w:rsidR="00854DBA">
        <w:rPr>
          <w:sz w:val="20"/>
        </w:rPr>
        <w:t xml:space="preserve">symmetry, customer perception. </w:t>
      </w:r>
      <w:r>
        <w:rPr>
          <w:sz w:val="20"/>
        </w:rPr>
        <w:t>Horizontal and vertical differentiation.</w:t>
      </w:r>
    </w:p>
    <w:p w14:paraId="3143AC7F" w14:textId="77777777" w:rsidR="00383DCD" w:rsidRPr="002C4E93" w:rsidRDefault="00383DCD" w:rsidP="000F5BBA">
      <w:pPr>
        <w:tabs>
          <w:tab w:val="left" w:pos="567"/>
        </w:tabs>
        <w:ind w:left="709"/>
        <w:jc w:val="both"/>
        <w:rPr>
          <w:sz w:val="20"/>
          <w:szCs w:val="20"/>
        </w:rPr>
      </w:pPr>
      <w:r>
        <w:rPr>
          <w:sz w:val="20"/>
        </w:rPr>
        <w:t xml:space="preserve">The policies for the quality of </w:t>
      </w:r>
      <w:proofErr w:type="spellStart"/>
      <w:r>
        <w:rPr>
          <w:sz w:val="20"/>
        </w:rPr>
        <w:t>agri</w:t>
      </w:r>
      <w:proofErr w:type="spellEnd"/>
      <w:r>
        <w:rPr>
          <w:sz w:val="20"/>
        </w:rPr>
        <w:t>-food products.</w:t>
      </w:r>
    </w:p>
    <w:p w14:paraId="02467FB5" w14:textId="77777777" w:rsidR="008C688D" w:rsidRPr="002C4E93" w:rsidRDefault="008C688D" w:rsidP="000F5BBA">
      <w:pPr>
        <w:keepNext/>
        <w:spacing w:before="240" w:after="120"/>
        <w:ind w:left="709"/>
        <w:jc w:val="both"/>
        <w:rPr>
          <w:b/>
          <w:sz w:val="20"/>
          <w:szCs w:val="20"/>
        </w:rPr>
      </w:pPr>
      <w:r>
        <w:rPr>
          <w:b/>
          <w:i/>
          <w:sz w:val="20"/>
        </w:rPr>
        <w:t>READING LIST</w:t>
      </w:r>
    </w:p>
    <w:p w14:paraId="439C576A" w14:textId="3383CBF0" w:rsidR="001B43C7" w:rsidRPr="002C4E93" w:rsidRDefault="00854DBA" w:rsidP="000F5BBA">
      <w:pPr>
        <w:tabs>
          <w:tab w:val="left" w:pos="284"/>
        </w:tabs>
        <w:spacing w:after="120"/>
        <w:ind w:left="709"/>
        <w:jc w:val="both"/>
        <w:rPr>
          <w:rFonts w:ascii="Times" w:hAnsi="Times"/>
          <w:sz w:val="20"/>
          <w:szCs w:val="20"/>
        </w:rPr>
      </w:pPr>
      <w:r>
        <w:rPr>
          <w:rFonts w:ascii="Times" w:hAnsi="Times"/>
          <w:sz w:val="20"/>
        </w:rPr>
        <w:t>During the course, f</w:t>
      </w:r>
      <w:r w:rsidR="001B43C7">
        <w:rPr>
          <w:rFonts w:ascii="Times" w:hAnsi="Times"/>
          <w:sz w:val="20"/>
        </w:rPr>
        <w:t xml:space="preserve">or every topic analysed, the lecturer will provide information on the reading list and supplementary teaching material. The teaching material </w:t>
      </w:r>
      <w:proofErr w:type="gramStart"/>
      <w:r w:rsidR="001B43C7">
        <w:rPr>
          <w:rFonts w:ascii="Times" w:hAnsi="Times"/>
          <w:sz w:val="20"/>
        </w:rPr>
        <w:t>will be made</w:t>
      </w:r>
      <w:proofErr w:type="gramEnd"/>
      <w:r w:rsidR="001B43C7">
        <w:rPr>
          <w:rFonts w:ascii="Times" w:hAnsi="Times"/>
          <w:sz w:val="20"/>
        </w:rPr>
        <w:t xml:space="preserve"> available on the Blackboard page of the course.</w:t>
      </w:r>
    </w:p>
    <w:p w14:paraId="5FD25758" w14:textId="77777777" w:rsidR="001B43C7" w:rsidRPr="002C4E93" w:rsidRDefault="001B43C7" w:rsidP="000F5BBA">
      <w:pPr>
        <w:spacing w:before="240" w:after="120"/>
        <w:ind w:left="709"/>
        <w:contextualSpacing/>
        <w:jc w:val="both"/>
        <w:rPr>
          <w:b/>
          <w:i/>
          <w:sz w:val="20"/>
          <w:szCs w:val="20"/>
        </w:rPr>
      </w:pPr>
    </w:p>
    <w:p w14:paraId="74896288" w14:textId="77777777" w:rsidR="008C688D" w:rsidRPr="002C4E93" w:rsidRDefault="008C688D" w:rsidP="000F5BBA">
      <w:pPr>
        <w:spacing w:before="240" w:after="120"/>
        <w:ind w:left="709"/>
        <w:contextualSpacing/>
        <w:jc w:val="both"/>
        <w:rPr>
          <w:b/>
          <w:i/>
          <w:sz w:val="20"/>
          <w:szCs w:val="20"/>
        </w:rPr>
      </w:pPr>
      <w:r>
        <w:rPr>
          <w:b/>
          <w:i/>
          <w:sz w:val="20"/>
        </w:rPr>
        <w:t>TEACHING METHOD</w:t>
      </w:r>
    </w:p>
    <w:p w14:paraId="7715F3A7" w14:textId="4517D79A" w:rsidR="008C688D" w:rsidRPr="002C4E93" w:rsidRDefault="00383DCD" w:rsidP="000F5BBA">
      <w:pPr>
        <w:spacing w:before="120" w:after="120"/>
        <w:ind w:left="709"/>
        <w:contextualSpacing/>
        <w:jc w:val="both"/>
        <w:rPr>
          <w:sz w:val="20"/>
          <w:szCs w:val="20"/>
        </w:rPr>
      </w:pPr>
      <w:r>
        <w:rPr>
          <w:sz w:val="20"/>
        </w:rPr>
        <w:t xml:space="preserve">The course corresponds to </w:t>
      </w:r>
      <w:proofErr w:type="gramStart"/>
      <w:r>
        <w:rPr>
          <w:sz w:val="20"/>
        </w:rPr>
        <w:t>5</w:t>
      </w:r>
      <w:proofErr w:type="gramEnd"/>
      <w:r>
        <w:rPr>
          <w:sz w:val="20"/>
        </w:rPr>
        <w:t xml:space="preserve"> ECTS (30 hours), and will be characterised by frontal lectures that can include the presentation of case studies and </w:t>
      </w:r>
      <w:r>
        <w:rPr>
          <w:sz w:val="20"/>
        </w:rPr>
        <w:lastRenderedPageBreak/>
        <w:t>empirical models, and meeting</w:t>
      </w:r>
      <w:r w:rsidR="00854DBA">
        <w:rPr>
          <w:sz w:val="20"/>
        </w:rPr>
        <w:t xml:space="preserve">s with subject-matter experts. </w:t>
      </w:r>
      <w:r>
        <w:rPr>
          <w:sz w:val="20"/>
        </w:rPr>
        <w:t xml:space="preserve">Class attendance </w:t>
      </w:r>
      <w:proofErr w:type="gramStart"/>
      <w:r>
        <w:rPr>
          <w:sz w:val="20"/>
        </w:rPr>
        <w:t>is strongly recommended</w:t>
      </w:r>
      <w:proofErr w:type="gramEnd"/>
      <w:r>
        <w:rPr>
          <w:sz w:val="20"/>
        </w:rPr>
        <w:t>.</w:t>
      </w:r>
    </w:p>
    <w:p w14:paraId="02FCA7A8" w14:textId="7D571EA8" w:rsidR="00802D13" w:rsidRPr="00D179EF" w:rsidRDefault="00802D13" w:rsidP="00741CC1">
      <w:pPr>
        <w:tabs>
          <w:tab w:val="left" w:pos="6663"/>
        </w:tabs>
        <w:spacing w:before="240" w:after="120" w:line="220" w:lineRule="exact"/>
        <w:ind w:left="709" w:right="28"/>
        <w:jc w:val="both"/>
        <w:rPr>
          <w:rFonts w:ascii="Times" w:hAnsi="Times" w:cs="Times"/>
          <w:b/>
          <w:i/>
          <w:sz w:val="20"/>
          <w:szCs w:val="20"/>
        </w:rPr>
      </w:pPr>
      <w:r>
        <w:rPr>
          <w:rFonts w:ascii="Times" w:hAnsi="Times"/>
          <w:b/>
          <w:i/>
          <w:sz w:val="20"/>
        </w:rPr>
        <w:t>ASSESSMENT METHOD AND CRITERIA</w:t>
      </w:r>
    </w:p>
    <w:p w14:paraId="370FEF71" w14:textId="00355783" w:rsidR="004744B0" w:rsidRDefault="004744B0" w:rsidP="004744B0">
      <w:pPr>
        <w:spacing w:before="240"/>
        <w:ind w:left="709"/>
        <w:contextualSpacing/>
        <w:jc w:val="both"/>
        <w:rPr>
          <w:rFonts w:eastAsiaTheme="minorHAnsi"/>
          <w:sz w:val="20"/>
          <w:szCs w:val="20"/>
        </w:rPr>
      </w:pPr>
      <w:r>
        <w:rPr>
          <w:sz w:val="20"/>
        </w:rPr>
        <w:t xml:space="preserve">The </w:t>
      </w:r>
      <w:r w:rsidR="00003826">
        <w:rPr>
          <w:sz w:val="20"/>
        </w:rPr>
        <w:t>assessment method will be based on</w:t>
      </w:r>
      <w:r>
        <w:rPr>
          <w:sz w:val="20"/>
        </w:rPr>
        <w:t>:</w:t>
      </w:r>
    </w:p>
    <w:p w14:paraId="5C6AD5DA" w14:textId="3A3AE912" w:rsidR="004744B0" w:rsidRDefault="00383DCD" w:rsidP="004744B0">
      <w:pPr>
        <w:pStyle w:val="Paragrafoelenco"/>
        <w:numPr>
          <w:ilvl w:val="0"/>
          <w:numId w:val="8"/>
        </w:numPr>
        <w:spacing w:after="120"/>
        <w:ind w:left="993" w:hanging="284"/>
        <w:jc w:val="both"/>
        <w:rPr>
          <w:rFonts w:eastAsiaTheme="minorHAnsi"/>
          <w:sz w:val="20"/>
          <w:szCs w:val="20"/>
        </w:rPr>
      </w:pPr>
      <w:proofErr w:type="gramStart"/>
      <w:r>
        <w:rPr>
          <w:sz w:val="20"/>
        </w:rPr>
        <w:t>a</w:t>
      </w:r>
      <w:proofErr w:type="gramEnd"/>
      <w:r>
        <w:rPr>
          <w:sz w:val="20"/>
        </w:rPr>
        <w:t xml:space="preserve"> written exam. The questions </w:t>
      </w:r>
      <w:proofErr w:type="gramStart"/>
      <w:r>
        <w:rPr>
          <w:sz w:val="20"/>
        </w:rPr>
        <w:t>will be focused</w:t>
      </w:r>
      <w:proofErr w:type="gramEnd"/>
      <w:r>
        <w:rPr>
          <w:sz w:val="20"/>
        </w:rPr>
        <w:t xml:space="preserve"> not only on the most descriptive parts of the course, but also on the most formal ones. The number of points associated with each question may vary according to the type of exam and </w:t>
      </w:r>
      <w:proofErr w:type="gramStart"/>
      <w:r>
        <w:rPr>
          <w:sz w:val="20"/>
        </w:rPr>
        <w:t>will be specified</w:t>
      </w:r>
      <w:proofErr w:type="gramEnd"/>
      <w:r>
        <w:rPr>
          <w:sz w:val="20"/>
        </w:rPr>
        <w:t xml:space="preserve"> during the test. </w:t>
      </w:r>
    </w:p>
    <w:p w14:paraId="355C9530" w14:textId="6841653C" w:rsidR="004744B0" w:rsidRDefault="00854DBA" w:rsidP="004744B0">
      <w:pPr>
        <w:pStyle w:val="Paragrafoelenco"/>
        <w:numPr>
          <w:ilvl w:val="0"/>
          <w:numId w:val="8"/>
        </w:numPr>
        <w:spacing w:after="120"/>
        <w:ind w:left="993" w:hanging="284"/>
        <w:contextualSpacing w:val="0"/>
        <w:jc w:val="both"/>
        <w:rPr>
          <w:rFonts w:eastAsiaTheme="minorHAnsi"/>
          <w:sz w:val="20"/>
          <w:szCs w:val="20"/>
        </w:rPr>
      </w:pPr>
      <w:proofErr w:type="gramStart"/>
      <w:r>
        <w:rPr>
          <w:sz w:val="20"/>
        </w:rPr>
        <w:t>the</w:t>
      </w:r>
      <w:proofErr w:type="gramEnd"/>
      <w:r w:rsidR="004744B0">
        <w:rPr>
          <w:sz w:val="20"/>
        </w:rPr>
        <w:t xml:space="preserve"> participation in class, that may include also a group work/test (</w:t>
      </w:r>
      <w:r w:rsidR="00003826">
        <w:rPr>
          <w:sz w:val="20"/>
        </w:rPr>
        <w:t xml:space="preserve">awarding students with </w:t>
      </w:r>
      <w:r w:rsidR="004744B0">
        <w:rPr>
          <w:sz w:val="20"/>
        </w:rPr>
        <w:t>up to three extra points on the final mark).</w:t>
      </w:r>
    </w:p>
    <w:p w14:paraId="3CD79D2D" w14:textId="099AE6A3" w:rsidR="00383DCD" w:rsidRPr="004744B0" w:rsidRDefault="00383DCD" w:rsidP="004744B0">
      <w:pPr>
        <w:pStyle w:val="Paragrafoelenco"/>
        <w:spacing w:after="120"/>
        <w:ind w:left="709"/>
        <w:jc w:val="both"/>
        <w:rPr>
          <w:rFonts w:eastAsiaTheme="minorHAnsi"/>
          <w:sz w:val="20"/>
          <w:szCs w:val="20"/>
        </w:rPr>
      </w:pPr>
      <w:r>
        <w:rPr>
          <w:sz w:val="20"/>
        </w:rPr>
        <w:t xml:space="preserve">The final exam aims to precisely assess the overall preparation of </w:t>
      </w:r>
      <w:proofErr w:type="gramStart"/>
      <w:r>
        <w:rPr>
          <w:sz w:val="20"/>
        </w:rPr>
        <w:t>students on the whole</w:t>
      </w:r>
      <w:proofErr w:type="gramEnd"/>
      <w:r>
        <w:rPr>
          <w:sz w:val="20"/>
        </w:rPr>
        <w:t xml:space="preserve"> content of the course, and allow the lecturer to evaluate their reasoning skills and their ability to use methodological tools to interpret the phenomena that characterise </w:t>
      </w:r>
      <w:proofErr w:type="spellStart"/>
      <w:r>
        <w:rPr>
          <w:sz w:val="20"/>
        </w:rPr>
        <w:t>agri</w:t>
      </w:r>
      <w:proofErr w:type="spellEnd"/>
      <w:r>
        <w:rPr>
          <w:sz w:val="20"/>
        </w:rPr>
        <w:t>-food markets and their qualitative dimension.</w:t>
      </w:r>
    </w:p>
    <w:p w14:paraId="5EB84CA9" w14:textId="5A14B885" w:rsidR="00741CC1" w:rsidRDefault="00741CC1" w:rsidP="00D179EF">
      <w:pPr>
        <w:spacing w:before="240" w:after="120"/>
        <w:ind w:left="709"/>
        <w:jc w:val="both"/>
        <w:rPr>
          <w:rFonts w:ascii="Times" w:eastAsiaTheme="minorHAnsi" w:hAnsi="Times" w:cs="Times"/>
          <w:b/>
          <w:i/>
          <w:noProof/>
          <w:sz w:val="20"/>
          <w:szCs w:val="20"/>
        </w:rPr>
      </w:pPr>
      <w:r>
        <w:rPr>
          <w:rFonts w:ascii="Times" w:hAnsi="Times"/>
          <w:b/>
          <w:i/>
          <w:sz w:val="20"/>
        </w:rPr>
        <w:t>NOTES AND PREREQUISITES</w:t>
      </w:r>
    </w:p>
    <w:p w14:paraId="54D8DF62" w14:textId="77777777" w:rsidR="002E6BF1" w:rsidRDefault="002E6BF1" w:rsidP="00741CC1">
      <w:pPr>
        <w:spacing w:line="220" w:lineRule="exact"/>
        <w:ind w:left="709"/>
        <w:jc w:val="both"/>
        <w:rPr>
          <w:rFonts w:ascii="Times" w:hAnsi="Times"/>
          <w:noProof/>
          <w:sz w:val="20"/>
          <w:szCs w:val="20"/>
        </w:rPr>
      </w:pPr>
      <w:r>
        <w:rPr>
          <w:rFonts w:ascii="Times" w:hAnsi="Times"/>
          <w:sz w:val="20"/>
        </w:rPr>
        <w:t>Class attendance is not compulsory, but highly recommended.</w:t>
      </w:r>
    </w:p>
    <w:p w14:paraId="42E0D4D0" w14:textId="305180BA" w:rsidR="008C688D" w:rsidRPr="00003826" w:rsidRDefault="00741CC1" w:rsidP="00003826">
      <w:pPr>
        <w:spacing w:after="240" w:line="220" w:lineRule="exact"/>
        <w:ind w:left="709"/>
        <w:jc w:val="both"/>
        <w:rPr>
          <w:rFonts w:ascii="Times" w:hAnsi="Times"/>
          <w:noProof/>
          <w:sz w:val="20"/>
          <w:szCs w:val="20"/>
        </w:rPr>
      </w:pPr>
      <w:r>
        <w:rPr>
          <w:rFonts w:ascii="Times" w:hAnsi="Times"/>
          <w:sz w:val="20"/>
        </w:rPr>
        <w:t xml:space="preserve">Further details on the course content </w:t>
      </w:r>
      <w:proofErr w:type="gramStart"/>
      <w:r>
        <w:rPr>
          <w:rFonts w:ascii="Times" w:hAnsi="Times"/>
          <w:sz w:val="20"/>
        </w:rPr>
        <w:t>will be made</w:t>
      </w:r>
      <w:proofErr w:type="gramEnd"/>
      <w:r>
        <w:rPr>
          <w:rFonts w:ascii="Times" w:hAnsi="Times"/>
          <w:sz w:val="20"/>
        </w:rPr>
        <w:t xml:space="preserve"> available during the course. In order to get the most out of this course, students </w:t>
      </w:r>
      <w:proofErr w:type="gramStart"/>
      <w:r>
        <w:rPr>
          <w:rFonts w:ascii="Times" w:hAnsi="Times"/>
          <w:sz w:val="20"/>
        </w:rPr>
        <w:t>are expected</w:t>
      </w:r>
      <w:proofErr w:type="gramEnd"/>
      <w:r>
        <w:rPr>
          <w:rFonts w:ascii="Times" w:hAnsi="Times"/>
          <w:sz w:val="20"/>
        </w:rPr>
        <w:t xml:space="preserve"> to have a basic knowledge of the fundamental concepts learned during the</w:t>
      </w:r>
      <w:r>
        <w:rPr>
          <w:sz w:val="20"/>
        </w:rPr>
        <w:t xml:space="preserve"> Economics and </w:t>
      </w:r>
      <w:proofErr w:type="spellStart"/>
      <w:r>
        <w:rPr>
          <w:sz w:val="20"/>
        </w:rPr>
        <w:t>Agri</w:t>
      </w:r>
      <w:proofErr w:type="spellEnd"/>
      <w:r>
        <w:rPr>
          <w:sz w:val="20"/>
        </w:rPr>
        <w:t>-food policies course</w:t>
      </w:r>
      <w:r>
        <w:rPr>
          <w:rFonts w:ascii="Times" w:hAnsi="Times"/>
          <w:sz w:val="20"/>
        </w:rPr>
        <w:t xml:space="preserve">. </w:t>
      </w:r>
    </w:p>
    <w:p w14:paraId="340B95D2" w14:textId="57E9FF8F" w:rsidR="00383DCD" w:rsidRPr="00003826" w:rsidRDefault="00003826" w:rsidP="00003826">
      <w:pPr>
        <w:tabs>
          <w:tab w:val="left" w:pos="708"/>
        </w:tabs>
        <w:spacing w:after="120"/>
        <w:ind w:left="709"/>
        <w:jc w:val="both"/>
        <w:rPr>
          <w:noProof/>
          <w:sz w:val="20"/>
          <w:szCs w:val="20"/>
        </w:rPr>
      </w:pPr>
      <w:r w:rsidRPr="00854DBA">
        <w:rPr>
          <w:color w:val="000000" w:themeColor="text1"/>
          <w:sz w:val="20"/>
        </w:rPr>
        <w:t>Information on office hours available on the teacher's personal page at http://docenti.unicatt.it/.</w:t>
      </w:r>
      <w:r w:rsidR="00825732" w:rsidRPr="00003826">
        <w:rPr>
          <w:sz w:val="20"/>
        </w:rPr>
        <w:t xml:space="preserve"> </w:t>
      </w:r>
    </w:p>
    <w:p w14:paraId="498B3075" w14:textId="77777777" w:rsidR="008C688D" w:rsidRPr="00003826" w:rsidRDefault="008C688D" w:rsidP="000F5BBA">
      <w:pPr>
        <w:rPr>
          <w:sz w:val="20"/>
          <w:szCs w:val="20"/>
        </w:rPr>
      </w:pPr>
    </w:p>
    <w:sectPr w:rsidR="008C688D" w:rsidRPr="00003826" w:rsidSect="005E0C54">
      <w:pgSz w:w="11906" w:h="16838"/>
      <w:pgMar w:top="3515" w:right="2608" w:bottom="3515" w:left="260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313"/>
    <w:multiLevelType w:val="hybridMultilevel"/>
    <w:tmpl w:val="21FE7818"/>
    <w:lvl w:ilvl="0" w:tplc="A8D41D40">
      <w:start w:val="1"/>
      <w:numFmt w:val="bullet"/>
      <w:lvlText w:val="-"/>
      <w:lvlJc w:val="left"/>
      <w:pPr>
        <w:tabs>
          <w:tab w:val="num" w:pos="284"/>
        </w:tabs>
        <w:ind w:left="284" w:hanging="284"/>
      </w:pPr>
      <w:rPr>
        <w:rFonts w:ascii="Times New Roman" w:eastAsia="Times New Roman" w:hAnsi="Times New Roman" w:hint="default"/>
        <w:w w:val="0"/>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03692"/>
    <w:multiLevelType w:val="hybridMultilevel"/>
    <w:tmpl w:val="7F101926"/>
    <w:lvl w:ilvl="0" w:tplc="04100001">
      <w:start w:val="1"/>
      <w:numFmt w:val="bullet"/>
      <w:lvlText w:val=""/>
      <w:lvlJc w:val="left"/>
      <w:pPr>
        <w:tabs>
          <w:tab w:val="num" w:pos="170"/>
        </w:tabs>
        <w:ind w:left="283" w:hanging="283"/>
      </w:pPr>
      <w:rPr>
        <w:rFonts w:ascii="Symbol" w:hAnsi="Symbol" w:hint="default"/>
      </w:rPr>
    </w:lvl>
    <w:lvl w:ilvl="1" w:tplc="04100003">
      <w:start w:val="1"/>
      <w:numFmt w:val="bullet"/>
      <w:lvlText w:val="o"/>
      <w:lvlJc w:val="left"/>
      <w:pPr>
        <w:ind w:left="702" w:hanging="360"/>
      </w:pPr>
      <w:rPr>
        <w:rFonts w:ascii="Courier New" w:hAnsi="Courier New" w:cs="Courier New" w:hint="default"/>
      </w:rPr>
    </w:lvl>
    <w:lvl w:ilvl="2" w:tplc="04100005">
      <w:start w:val="1"/>
      <w:numFmt w:val="bullet"/>
      <w:lvlText w:val=""/>
      <w:lvlJc w:val="left"/>
      <w:pPr>
        <w:ind w:left="1422" w:hanging="360"/>
      </w:pPr>
      <w:rPr>
        <w:rFonts w:ascii="Wingdings" w:hAnsi="Wingdings" w:hint="default"/>
      </w:rPr>
    </w:lvl>
    <w:lvl w:ilvl="3" w:tplc="04100001">
      <w:start w:val="1"/>
      <w:numFmt w:val="bullet"/>
      <w:lvlText w:val=""/>
      <w:lvlJc w:val="left"/>
      <w:pPr>
        <w:ind w:left="2142" w:hanging="360"/>
      </w:pPr>
      <w:rPr>
        <w:rFonts w:ascii="Symbol" w:hAnsi="Symbol" w:hint="default"/>
      </w:rPr>
    </w:lvl>
    <w:lvl w:ilvl="4" w:tplc="04100003">
      <w:start w:val="1"/>
      <w:numFmt w:val="bullet"/>
      <w:lvlText w:val="o"/>
      <w:lvlJc w:val="left"/>
      <w:pPr>
        <w:ind w:left="2862" w:hanging="360"/>
      </w:pPr>
      <w:rPr>
        <w:rFonts w:ascii="Courier New" w:hAnsi="Courier New" w:cs="Courier New" w:hint="default"/>
      </w:rPr>
    </w:lvl>
    <w:lvl w:ilvl="5" w:tplc="04100005">
      <w:start w:val="1"/>
      <w:numFmt w:val="bullet"/>
      <w:lvlText w:val=""/>
      <w:lvlJc w:val="left"/>
      <w:pPr>
        <w:ind w:left="3582" w:hanging="360"/>
      </w:pPr>
      <w:rPr>
        <w:rFonts w:ascii="Wingdings" w:hAnsi="Wingdings" w:hint="default"/>
      </w:rPr>
    </w:lvl>
    <w:lvl w:ilvl="6" w:tplc="04100001">
      <w:start w:val="1"/>
      <w:numFmt w:val="bullet"/>
      <w:lvlText w:val=""/>
      <w:lvlJc w:val="left"/>
      <w:pPr>
        <w:ind w:left="4302" w:hanging="360"/>
      </w:pPr>
      <w:rPr>
        <w:rFonts w:ascii="Symbol" w:hAnsi="Symbol" w:hint="default"/>
      </w:rPr>
    </w:lvl>
    <w:lvl w:ilvl="7" w:tplc="04100003">
      <w:start w:val="1"/>
      <w:numFmt w:val="bullet"/>
      <w:lvlText w:val="o"/>
      <w:lvlJc w:val="left"/>
      <w:pPr>
        <w:ind w:left="5022" w:hanging="360"/>
      </w:pPr>
      <w:rPr>
        <w:rFonts w:ascii="Courier New" w:hAnsi="Courier New" w:cs="Courier New" w:hint="default"/>
      </w:rPr>
    </w:lvl>
    <w:lvl w:ilvl="8" w:tplc="04100005">
      <w:start w:val="1"/>
      <w:numFmt w:val="bullet"/>
      <w:lvlText w:val=""/>
      <w:lvlJc w:val="left"/>
      <w:pPr>
        <w:ind w:left="5742" w:hanging="360"/>
      </w:pPr>
      <w:rPr>
        <w:rFonts w:ascii="Wingdings" w:hAnsi="Wingdings" w:hint="default"/>
      </w:rPr>
    </w:lvl>
  </w:abstractNum>
  <w:abstractNum w:abstractNumId="2" w15:restartNumberingAfterBreak="0">
    <w:nsid w:val="1CE35795"/>
    <w:multiLevelType w:val="hybridMultilevel"/>
    <w:tmpl w:val="6ECAC62C"/>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3" w15:restartNumberingAfterBreak="0">
    <w:nsid w:val="2A582492"/>
    <w:multiLevelType w:val="hybridMultilevel"/>
    <w:tmpl w:val="06D208FC"/>
    <w:lvl w:ilvl="0" w:tplc="CB16AC50">
      <w:start w:val="3"/>
      <w:numFmt w:val="bullet"/>
      <w:lvlText w:val="-"/>
      <w:lvlJc w:val="left"/>
      <w:pPr>
        <w:ind w:left="2864" w:hanging="360"/>
      </w:pPr>
      <w:rPr>
        <w:rFonts w:ascii="Times" w:eastAsia="Times New Roman" w:hAnsi="Times" w:cs="Times New Roman" w:hint="default"/>
      </w:rPr>
    </w:lvl>
    <w:lvl w:ilvl="1" w:tplc="04100003" w:tentative="1">
      <w:start w:val="1"/>
      <w:numFmt w:val="bullet"/>
      <w:lvlText w:val="o"/>
      <w:lvlJc w:val="left"/>
      <w:pPr>
        <w:ind w:left="3584" w:hanging="360"/>
      </w:pPr>
      <w:rPr>
        <w:rFonts w:ascii="Courier New" w:hAnsi="Courier New" w:cs="Courier New" w:hint="default"/>
      </w:rPr>
    </w:lvl>
    <w:lvl w:ilvl="2" w:tplc="04100005" w:tentative="1">
      <w:start w:val="1"/>
      <w:numFmt w:val="bullet"/>
      <w:lvlText w:val=""/>
      <w:lvlJc w:val="left"/>
      <w:pPr>
        <w:ind w:left="4304" w:hanging="360"/>
      </w:pPr>
      <w:rPr>
        <w:rFonts w:ascii="Wingdings" w:hAnsi="Wingdings" w:hint="default"/>
      </w:rPr>
    </w:lvl>
    <w:lvl w:ilvl="3" w:tplc="04100001" w:tentative="1">
      <w:start w:val="1"/>
      <w:numFmt w:val="bullet"/>
      <w:lvlText w:val=""/>
      <w:lvlJc w:val="left"/>
      <w:pPr>
        <w:ind w:left="5024" w:hanging="360"/>
      </w:pPr>
      <w:rPr>
        <w:rFonts w:ascii="Symbol" w:hAnsi="Symbol" w:hint="default"/>
      </w:rPr>
    </w:lvl>
    <w:lvl w:ilvl="4" w:tplc="04100003" w:tentative="1">
      <w:start w:val="1"/>
      <w:numFmt w:val="bullet"/>
      <w:lvlText w:val="o"/>
      <w:lvlJc w:val="left"/>
      <w:pPr>
        <w:ind w:left="5744" w:hanging="360"/>
      </w:pPr>
      <w:rPr>
        <w:rFonts w:ascii="Courier New" w:hAnsi="Courier New" w:cs="Courier New" w:hint="default"/>
      </w:rPr>
    </w:lvl>
    <w:lvl w:ilvl="5" w:tplc="04100005" w:tentative="1">
      <w:start w:val="1"/>
      <w:numFmt w:val="bullet"/>
      <w:lvlText w:val=""/>
      <w:lvlJc w:val="left"/>
      <w:pPr>
        <w:ind w:left="6464" w:hanging="360"/>
      </w:pPr>
      <w:rPr>
        <w:rFonts w:ascii="Wingdings" w:hAnsi="Wingdings" w:hint="default"/>
      </w:rPr>
    </w:lvl>
    <w:lvl w:ilvl="6" w:tplc="04100001" w:tentative="1">
      <w:start w:val="1"/>
      <w:numFmt w:val="bullet"/>
      <w:lvlText w:val=""/>
      <w:lvlJc w:val="left"/>
      <w:pPr>
        <w:ind w:left="7184" w:hanging="360"/>
      </w:pPr>
      <w:rPr>
        <w:rFonts w:ascii="Symbol" w:hAnsi="Symbol" w:hint="default"/>
      </w:rPr>
    </w:lvl>
    <w:lvl w:ilvl="7" w:tplc="04100003" w:tentative="1">
      <w:start w:val="1"/>
      <w:numFmt w:val="bullet"/>
      <w:lvlText w:val="o"/>
      <w:lvlJc w:val="left"/>
      <w:pPr>
        <w:ind w:left="7904" w:hanging="360"/>
      </w:pPr>
      <w:rPr>
        <w:rFonts w:ascii="Courier New" w:hAnsi="Courier New" w:cs="Courier New" w:hint="default"/>
      </w:rPr>
    </w:lvl>
    <w:lvl w:ilvl="8" w:tplc="04100005" w:tentative="1">
      <w:start w:val="1"/>
      <w:numFmt w:val="bullet"/>
      <w:lvlText w:val=""/>
      <w:lvlJc w:val="left"/>
      <w:pPr>
        <w:ind w:left="8624" w:hanging="360"/>
      </w:pPr>
      <w:rPr>
        <w:rFonts w:ascii="Wingdings" w:hAnsi="Wingdings" w:hint="default"/>
      </w:rPr>
    </w:lvl>
  </w:abstractNum>
  <w:abstractNum w:abstractNumId="4" w15:restartNumberingAfterBreak="0">
    <w:nsid w:val="333127F7"/>
    <w:multiLevelType w:val="hybridMultilevel"/>
    <w:tmpl w:val="AB9E5E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629577E"/>
    <w:multiLevelType w:val="hybridMultilevel"/>
    <w:tmpl w:val="8C32D11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52C76347"/>
    <w:multiLevelType w:val="hybridMultilevel"/>
    <w:tmpl w:val="0BCCCD50"/>
    <w:lvl w:ilvl="0" w:tplc="38C65BB8">
      <w:start w:val="1"/>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4"/>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8B"/>
    <w:rsid w:val="00002C59"/>
    <w:rsid w:val="00003826"/>
    <w:rsid w:val="00013120"/>
    <w:rsid w:val="000174C7"/>
    <w:rsid w:val="00027716"/>
    <w:rsid w:val="00027A18"/>
    <w:rsid w:val="000C1611"/>
    <w:rsid w:val="000C3F00"/>
    <w:rsid w:val="000D54A2"/>
    <w:rsid w:val="000D7679"/>
    <w:rsid w:val="000E4109"/>
    <w:rsid w:val="000F5BBA"/>
    <w:rsid w:val="00166E66"/>
    <w:rsid w:val="001A1D25"/>
    <w:rsid w:val="001A28A5"/>
    <w:rsid w:val="001B00E5"/>
    <w:rsid w:val="001B43C7"/>
    <w:rsid w:val="001C52F5"/>
    <w:rsid w:val="001D65FE"/>
    <w:rsid w:val="00211A5E"/>
    <w:rsid w:val="002810E3"/>
    <w:rsid w:val="00282C83"/>
    <w:rsid w:val="002A2C74"/>
    <w:rsid w:val="002C4E93"/>
    <w:rsid w:val="002E6BF1"/>
    <w:rsid w:val="00361082"/>
    <w:rsid w:val="00383DCD"/>
    <w:rsid w:val="003A086D"/>
    <w:rsid w:val="003E1E6B"/>
    <w:rsid w:val="003F5AE3"/>
    <w:rsid w:val="00412925"/>
    <w:rsid w:val="00414174"/>
    <w:rsid w:val="00442925"/>
    <w:rsid w:val="00461BD5"/>
    <w:rsid w:val="0046247A"/>
    <w:rsid w:val="004744B0"/>
    <w:rsid w:val="00490C30"/>
    <w:rsid w:val="004B3916"/>
    <w:rsid w:val="004C3E8B"/>
    <w:rsid w:val="004D6367"/>
    <w:rsid w:val="004E71B1"/>
    <w:rsid w:val="00551E52"/>
    <w:rsid w:val="005943A9"/>
    <w:rsid w:val="005975E3"/>
    <w:rsid w:val="005E0C54"/>
    <w:rsid w:val="005E4A3E"/>
    <w:rsid w:val="00610A0F"/>
    <w:rsid w:val="00663F75"/>
    <w:rsid w:val="006A296F"/>
    <w:rsid w:val="00741CC1"/>
    <w:rsid w:val="00746240"/>
    <w:rsid w:val="0076634C"/>
    <w:rsid w:val="00785AD3"/>
    <w:rsid w:val="007A7AE4"/>
    <w:rsid w:val="007E7542"/>
    <w:rsid w:val="00802D13"/>
    <w:rsid w:val="00825732"/>
    <w:rsid w:val="008327E5"/>
    <w:rsid w:val="00845232"/>
    <w:rsid w:val="00854DBA"/>
    <w:rsid w:val="00891FC3"/>
    <w:rsid w:val="0089381F"/>
    <w:rsid w:val="008C5F37"/>
    <w:rsid w:val="008C688D"/>
    <w:rsid w:val="009040E7"/>
    <w:rsid w:val="00952658"/>
    <w:rsid w:val="009B2C8F"/>
    <w:rsid w:val="00A417B9"/>
    <w:rsid w:val="00AD1BE9"/>
    <w:rsid w:val="00B727DD"/>
    <w:rsid w:val="00B91F5C"/>
    <w:rsid w:val="00BC249E"/>
    <w:rsid w:val="00BD165B"/>
    <w:rsid w:val="00BD4497"/>
    <w:rsid w:val="00C04353"/>
    <w:rsid w:val="00C13581"/>
    <w:rsid w:val="00C767EA"/>
    <w:rsid w:val="00C86D9E"/>
    <w:rsid w:val="00C90E84"/>
    <w:rsid w:val="00CF131F"/>
    <w:rsid w:val="00D179EF"/>
    <w:rsid w:val="00D271AA"/>
    <w:rsid w:val="00D3609A"/>
    <w:rsid w:val="00D57A6D"/>
    <w:rsid w:val="00DC2DF5"/>
    <w:rsid w:val="00DE16D0"/>
    <w:rsid w:val="00DE3A15"/>
    <w:rsid w:val="00DF34B0"/>
    <w:rsid w:val="00EE3C45"/>
    <w:rsid w:val="00EE70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922A0"/>
  <w15:docId w15:val="{5942026B-F01E-4FD6-AAC1-02300598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CC1"/>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4A5B86"/>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semiHidden/>
    <w:unhideWhenUsed/>
    <w:qFormat/>
    <w:rsid w:val="009040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C03789"/>
    <w:pPr>
      <w:spacing w:after="200" w:line="276" w:lineRule="auto"/>
    </w:pPr>
    <w:rPr>
      <w:rFonts w:eastAsia="Times New Roman"/>
      <w:sz w:val="22"/>
      <w:szCs w:val="22"/>
      <w:lang w:eastAsia="en-US" w:bidi="it-IT"/>
    </w:rPr>
  </w:style>
  <w:style w:type="character" w:customStyle="1" w:styleId="Caratterepredefinito">
    <w:name w:val="Carattere predefinito"/>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82457F"/>
  </w:style>
  <w:style w:type="table" w:customStyle="1" w:styleId="Tabellanorm1">
    <w:name w:val="Tabella norm1"/>
    <w:semiHidden/>
    <w:rsid w:val="0082457F"/>
    <w:rPr>
      <w:rFonts w:eastAsia="Times New Roman"/>
      <w:lang w:eastAsia="en-US" w:bidi="it-IT"/>
    </w:rPr>
    <w:tblPr>
      <w:tblInd w:w="0" w:type="dxa"/>
      <w:tblCellMar>
        <w:top w:w="0" w:type="dxa"/>
        <w:left w:w="108" w:type="dxa"/>
        <w:bottom w:w="0" w:type="dxa"/>
        <w:right w:w="108" w:type="dxa"/>
      </w:tblCellMar>
    </w:tblPr>
  </w:style>
  <w:style w:type="paragraph" w:customStyle="1" w:styleId="Mappadocume">
    <w:name w:val="Mappa docume"/>
    <w:basedOn w:val="Normale1"/>
    <w:semiHidden/>
    <w:rsid w:val="006D3CB4"/>
    <w:pPr>
      <w:shd w:val="clear" w:color="auto" w:fill="C6D5EC"/>
      <w:spacing w:after="0" w:line="240" w:lineRule="auto"/>
    </w:pPr>
    <w:rPr>
      <w:rFonts w:ascii="Lucida Grande" w:hAnsi="Lucida Grande"/>
      <w:sz w:val="24"/>
      <w:szCs w:val="24"/>
      <w:lang w:eastAsia="it-IT"/>
    </w:rPr>
  </w:style>
  <w:style w:type="character" w:customStyle="1" w:styleId="DocumentMapChar">
    <w:name w:val="Document Map Char"/>
    <w:semiHidden/>
    <w:rPr>
      <w:rFonts w:ascii="Lucida Grande" w:hAnsi="Lucida Grande" w:cs="Times New Roman"/>
      <w:sz w:val="24"/>
    </w:rPr>
  </w:style>
  <w:style w:type="paragraph" w:styleId="Mappadocumento">
    <w:name w:val="Document Map"/>
    <w:basedOn w:val="Normale"/>
    <w:semiHidden/>
    <w:rsid w:val="00E45759"/>
    <w:pPr>
      <w:shd w:val="clear" w:color="auto" w:fill="C6D5EC"/>
    </w:pPr>
    <w:rPr>
      <w:rFonts w:ascii="Lucida Grande" w:hAnsi="Lucida Grande"/>
    </w:rPr>
  </w:style>
  <w:style w:type="character" w:customStyle="1" w:styleId="Titolo1Carattere">
    <w:name w:val="Titolo 1 Carattere"/>
    <w:link w:val="Titolo1"/>
    <w:uiPriority w:val="9"/>
    <w:rsid w:val="004A5B86"/>
    <w:rPr>
      <w:rFonts w:ascii="Cambria" w:eastAsia="Times New Roman" w:hAnsi="Cambria" w:cs="Times New Roman"/>
      <w:b/>
      <w:bCs/>
      <w:kern w:val="32"/>
      <w:sz w:val="32"/>
      <w:szCs w:val="32"/>
    </w:rPr>
  </w:style>
  <w:style w:type="character" w:styleId="Collegamentoipertestuale">
    <w:name w:val="Hyperlink"/>
    <w:basedOn w:val="Carpredefinitoparagrafo"/>
    <w:uiPriority w:val="99"/>
    <w:unhideWhenUsed/>
    <w:rsid w:val="005975E3"/>
    <w:rPr>
      <w:color w:val="0000FF"/>
      <w:u w:val="single"/>
    </w:rPr>
  </w:style>
  <w:style w:type="character" w:customStyle="1" w:styleId="Testo2Carattere">
    <w:name w:val="Testo 2 Carattere"/>
    <w:link w:val="Testo2"/>
    <w:locked/>
    <w:rsid w:val="005975E3"/>
    <w:rPr>
      <w:rFonts w:ascii="Times" w:hAnsi="Times" w:cs="Times"/>
      <w:noProof/>
      <w:sz w:val="18"/>
    </w:rPr>
  </w:style>
  <w:style w:type="paragraph" w:customStyle="1" w:styleId="Testo2">
    <w:name w:val="Testo 2"/>
    <w:link w:val="Testo2Carattere"/>
    <w:rsid w:val="005975E3"/>
    <w:pPr>
      <w:spacing w:line="220" w:lineRule="exact"/>
      <w:ind w:firstLine="284"/>
      <w:jc w:val="both"/>
    </w:pPr>
    <w:rPr>
      <w:rFonts w:ascii="Times" w:hAnsi="Times" w:cs="Times"/>
      <w:noProof/>
      <w:sz w:val="18"/>
    </w:rPr>
  </w:style>
  <w:style w:type="paragraph" w:styleId="Corpotesto">
    <w:name w:val="Body Text"/>
    <w:basedOn w:val="Normale"/>
    <w:link w:val="CorpotestoCarattere"/>
    <w:semiHidden/>
    <w:unhideWhenUsed/>
    <w:rsid w:val="009B2C8F"/>
    <w:pPr>
      <w:tabs>
        <w:tab w:val="left" w:pos="284"/>
      </w:tabs>
      <w:spacing w:line="240" w:lineRule="exact"/>
      <w:jc w:val="both"/>
    </w:pPr>
    <w:rPr>
      <w:rFonts w:ascii="Times" w:hAnsi="Times"/>
      <w:sz w:val="18"/>
      <w:szCs w:val="18"/>
    </w:rPr>
  </w:style>
  <w:style w:type="character" w:customStyle="1" w:styleId="CorpotestoCarattere">
    <w:name w:val="Corpo testo Carattere"/>
    <w:basedOn w:val="Carpredefinitoparagrafo"/>
    <w:link w:val="Corpotesto"/>
    <w:semiHidden/>
    <w:rsid w:val="009B2C8F"/>
    <w:rPr>
      <w:rFonts w:ascii="Times" w:eastAsia="Times New Roman" w:hAnsi="Times"/>
      <w:sz w:val="18"/>
      <w:szCs w:val="18"/>
    </w:rPr>
  </w:style>
  <w:style w:type="character" w:customStyle="1" w:styleId="Titolo2Carattere">
    <w:name w:val="Titolo 2 Carattere"/>
    <w:basedOn w:val="Carpredefinitoparagrafo"/>
    <w:link w:val="Titolo2"/>
    <w:uiPriority w:val="9"/>
    <w:semiHidden/>
    <w:rsid w:val="009040E7"/>
    <w:rPr>
      <w:rFonts w:asciiTheme="majorHAnsi" w:eastAsiaTheme="majorEastAsia" w:hAnsiTheme="majorHAnsi" w:cstheme="majorBidi"/>
      <w:b/>
      <w:bCs/>
      <w:color w:val="4F81BD" w:themeColor="accent1"/>
      <w:sz w:val="26"/>
      <w:szCs w:val="26"/>
    </w:rPr>
  </w:style>
  <w:style w:type="paragraph" w:styleId="PreformattatoHTML">
    <w:name w:val="HTML Preformatted"/>
    <w:basedOn w:val="Normale"/>
    <w:link w:val="PreformattatoHTMLCarattere"/>
    <w:uiPriority w:val="99"/>
    <w:semiHidden/>
    <w:unhideWhenUsed/>
    <w:rsid w:val="00904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9040E7"/>
    <w:rPr>
      <w:rFonts w:ascii="Courier New" w:eastAsia="Times New Roman" w:hAnsi="Courier New" w:cs="Courier New"/>
    </w:rPr>
  </w:style>
  <w:style w:type="character" w:customStyle="1" w:styleId="hps">
    <w:name w:val="hps"/>
    <w:basedOn w:val="Carpredefinitoparagrafo"/>
    <w:rsid w:val="00B727DD"/>
  </w:style>
  <w:style w:type="paragraph" w:styleId="Paragrafoelenco">
    <w:name w:val="List Paragraph"/>
    <w:basedOn w:val="Normale"/>
    <w:uiPriority w:val="34"/>
    <w:qFormat/>
    <w:rsid w:val="004B3916"/>
    <w:pPr>
      <w:ind w:left="720"/>
      <w:contextualSpacing/>
    </w:pPr>
  </w:style>
  <w:style w:type="character" w:customStyle="1" w:styleId="UnresolvedMention1">
    <w:name w:val="Unresolved Mention1"/>
    <w:basedOn w:val="Carpredefinitoparagrafo"/>
    <w:uiPriority w:val="99"/>
    <w:semiHidden/>
    <w:unhideWhenUsed/>
    <w:rsid w:val="0061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167">
      <w:bodyDiv w:val="1"/>
      <w:marLeft w:val="0"/>
      <w:marRight w:val="0"/>
      <w:marTop w:val="0"/>
      <w:marBottom w:val="0"/>
      <w:divBdr>
        <w:top w:val="none" w:sz="0" w:space="0" w:color="auto"/>
        <w:left w:val="none" w:sz="0" w:space="0" w:color="auto"/>
        <w:bottom w:val="none" w:sz="0" w:space="0" w:color="auto"/>
        <w:right w:val="none" w:sz="0" w:space="0" w:color="auto"/>
      </w:divBdr>
      <w:divsChild>
        <w:div w:id="900824173">
          <w:marLeft w:val="0"/>
          <w:marRight w:val="0"/>
          <w:marTop w:val="0"/>
          <w:marBottom w:val="0"/>
          <w:divBdr>
            <w:top w:val="none" w:sz="0" w:space="0" w:color="auto"/>
            <w:left w:val="none" w:sz="0" w:space="0" w:color="auto"/>
            <w:bottom w:val="none" w:sz="0" w:space="0" w:color="auto"/>
            <w:right w:val="none" w:sz="0" w:space="0" w:color="auto"/>
          </w:divBdr>
          <w:divsChild>
            <w:div w:id="245500266">
              <w:marLeft w:val="0"/>
              <w:marRight w:val="0"/>
              <w:marTop w:val="0"/>
              <w:marBottom w:val="0"/>
              <w:divBdr>
                <w:top w:val="none" w:sz="0" w:space="0" w:color="auto"/>
                <w:left w:val="none" w:sz="0" w:space="0" w:color="auto"/>
                <w:bottom w:val="none" w:sz="0" w:space="0" w:color="auto"/>
                <w:right w:val="none" w:sz="0" w:space="0" w:color="auto"/>
              </w:divBdr>
              <w:divsChild>
                <w:div w:id="11185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30081">
      <w:bodyDiv w:val="1"/>
      <w:marLeft w:val="0"/>
      <w:marRight w:val="0"/>
      <w:marTop w:val="0"/>
      <w:marBottom w:val="0"/>
      <w:divBdr>
        <w:top w:val="none" w:sz="0" w:space="0" w:color="auto"/>
        <w:left w:val="none" w:sz="0" w:space="0" w:color="auto"/>
        <w:bottom w:val="none" w:sz="0" w:space="0" w:color="auto"/>
        <w:right w:val="none" w:sz="0" w:space="0" w:color="auto"/>
      </w:divBdr>
    </w:div>
    <w:div w:id="1031491819">
      <w:bodyDiv w:val="1"/>
      <w:marLeft w:val="0"/>
      <w:marRight w:val="0"/>
      <w:marTop w:val="0"/>
      <w:marBottom w:val="0"/>
      <w:divBdr>
        <w:top w:val="none" w:sz="0" w:space="0" w:color="auto"/>
        <w:left w:val="none" w:sz="0" w:space="0" w:color="auto"/>
        <w:bottom w:val="none" w:sz="0" w:space="0" w:color="auto"/>
        <w:right w:val="none" w:sz="0" w:space="0" w:color="auto"/>
      </w:divBdr>
    </w:div>
    <w:div w:id="1216233849">
      <w:bodyDiv w:val="1"/>
      <w:marLeft w:val="0"/>
      <w:marRight w:val="0"/>
      <w:marTop w:val="0"/>
      <w:marBottom w:val="0"/>
      <w:divBdr>
        <w:top w:val="none" w:sz="0" w:space="0" w:color="auto"/>
        <w:left w:val="none" w:sz="0" w:space="0" w:color="auto"/>
        <w:bottom w:val="none" w:sz="0" w:space="0" w:color="auto"/>
        <w:right w:val="none" w:sz="0" w:space="0" w:color="auto"/>
      </w:divBdr>
    </w:div>
    <w:div w:id="1457092789">
      <w:bodyDiv w:val="1"/>
      <w:marLeft w:val="0"/>
      <w:marRight w:val="0"/>
      <w:marTop w:val="0"/>
      <w:marBottom w:val="0"/>
      <w:divBdr>
        <w:top w:val="none" w:sz="0" w:space="0" w:color="auto"/>
        <w:left w:val="none" w:sz="0" w:space="0" w:color="auto"/>
        <w:bottom w:val="none" w:sz="0" w:space="0" w:color="auto"/>
        <w:right w:val="none" w:sz="0" w:space="0" w:color="auto"/>
      </w:divBdr>
      <w:divsChild>
        <w:div w:id="997423008">
          <w:marLeft w:val="0"/>
          <w:marRight w:val="0"/>
          <w:marTop w:val="0"/>
          <w:marBottom w:val="0"/>
          <w:divBdr>
            <w:top w:val="none" w:sz="0" w:space="0" w:color="auto"/>
            <w:left w:val="none" w:sz="0" w:space="0" w:color="auto"/>
            <w:bottom w:val="none" w:sz="0" w:space="0" w:color="auto"/>
            <w:right w:val="none" w:sz="0" w:space="0" w:color="auto"/>
          </w:divBdr>
          <w:divsChild>
            <w:div w:id="494609969">
              <w:marLeft w:val="0"/>
              <w:marRight w:val="0"/>
              <w:marTop w:val="0"/>
              <w:marBottom w:val="0"/>
              <w:divBdr>
                <w:top w:val="none" w:sz="0" w:space="0" w:color="auto"/>
                <w:left w:val="none" w:sz="0" w:space="0" w:color="auto"/>
                <w:bottom w:val="none" w:sz="0" w:space="0" w:color="auto"/>
                <w:right w:val="none" w:sz="0" w:space="0" w:color="auto"/>
              </w:divBdr>
              <w:divsChild>
                <w:div w:id="14044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3129">
      <w:bodyDiv w:val="1"/>
      <w:marLeft w:val="0"/>
      <w:marRight w:val="0"/>
      <w:marTop w:val="0"/>
      <w:marBottom w:val="0"/>
      <w:divBdr>
        <w:top w:val="none" w:sz="0" w:space="0" w:color="auto"/>
        <w:left w:val="none" w:sz="0" w:space="0" w:color="auto"/>
        <w:bottom w:val="none" w:sz="0" w:space="0" w:color="auto"/>
        <w:right w:val="none" w:sz="0" w:space="0" w:color="auto"/>
      </w:divBdr>
    </w:div>
    <w:div w:id="1745495295">
      <w:bodyDiv w:val="1"/>
      <w:marLeft w:val="0"/>
      <w:marRight w:val="0"/>
      <w:marTop w:val="0"/>
      <w:marBottom w:val="0"/>
      <w:divBdr>
        <w:top w:val="none" w:sz="0" w:space="0" w:color="auto"/>
        <w:left w:val="none" w:sz="0" w:space="0" w:color="auto"/>
        <w:bottom w:val="none" w:sz="0" w:space="0" w:color="auto"/>
        <w:right w:val="none" w:sz="0" w:space="0" w:color="auto"/>
      </w:divBdr>
    </w:div>
    <w:div w:id="1839272486">
      <w:bodyDiv w:val="1"/>
      <w:marLeft w:val="0"/>
      <w:marRight w:val="0"/>
      <w:marTop w:val="0"/>
      <w:marBottom w:val="0"/>
      <w:divBdr>
        <w:top w:val="none" w:sz="0" w:space="0" w:color="auto"/>
        <w:left w:val="none" w:sz="0" w:space="0" w:color="auto"/>
        <w:bottom w:val="none" w:sz="0" w:space="0" w:color="auto"/>
        <w:right w:val="none" w:sz="0" w:space="0" w:color="auto"/>
      </w:divBdr>
    </w:div>
    <w:div w:id="2034765015">
      <w:bodyDiv w:val="1"/>
      <w:marLeft w:val="0"/>
      <w:marRight w:val="0"/>
      <w:marTop w:val="0"/>
      <w:marBottom w:val="0"/>
      <w:divBdr>
        <w:top w:val="none" w:sz="0" w:space="0" w:color="auto"/>
        <w:left w:val="none" w:sz="0" w:space="0" w:color="auto"/>
        <w:bottom w:val="none" w:sz="0" w:space="0" w:color="auto"/>
        <w:right w:val="none" w:sz="0" w:space="0" w:color="auto"/>
      </w:divBdr>
    </w:div>
    <w:div w:id="2105344444">
      <w:bodyDiv w:val="1"/>
      <w:marLeft w:val="0"/>
      <w:marRight w:val="0"/>
      <w:marTop w:val="0"/>
      <w:marBottom w:val="0"/>
      <w:divBdr>
        <w:top w:val="none" w:sz="0" w:space="0" w:color="auto"/>
        <w:left w:val="none" w:sz="0" w:space="0" w:color="auto"/>
        <w:bottom w:val="none" w:sz="0" w:space="0" w:color="auto"/>
        <w:right w:val="none" w:sz="0" w:space="0" w:color="auto"/>
      </w:divBdr>
    </w:div>
    <w:div w:id="213479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F385B-7613-4FD5-B220-D8328F39EB8F}">
  <ds:schemaRefs>
    <ds:schemaRef ds:uri="http://schemas.microsoft.com/sharepoint/v3/contenttype/forms"/>
  </ds:schemaRefs>
</ds:datastoreItem>
</file>

<file path=customXml/itemProps2.xml><?xml version="1.0" encoding="utf-8"?>
<ds:datastoreItem xmlns:ds="http://schemas.openxmlformats.org/officeDocument/2006/customXml" ds:itemID="{7C0E4B4E-76FE-4540-807F-A8F2A03FEB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50D0D-2FCC-4BFD-8D2C-CA7681BB8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1040</Words>
  <Characters>5928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European and Internal Market  Law 6</vt:lpstr>
    </vt:vector>
  </TitlesOfParts>
  <Company>UCSC Piacenza</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and Internal Market  Law 6</dc:title>
  <dc:creator>s-guest-00-pc</dc:creator>
  <cp:lastModifiedBy>Piccolini Luisella</cp:lastModifiedBy>
  <cp:revision>10</cp:revision>
  <dcterms:created xsi:type="dcterms:W3CDTF">2022-05-10T08:23:00Z</dcterms:created>
  <dcterms:modified xsi:type="dcterms:W3CDTF">2022-11-17T14:54:00Z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