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EF404" w14:textId="3BC0FB51" w:rsidR="00AA16D8" w:rsidRPr="006B306B" w:rsidRDefault="00446CE2">
      <w:pPr>
        <w:pStyle w:val="Titolo1"/>
        <w:rPr>
          <w:noProof w:val="0"/>
        </w:rPr>
      </w:pPr>
      <w:r w:rsidRPr="006B306B">
        <w:rPr>
          <w:noProof w:val="0"/>
        </w:rPr>
        <w:t xml:space="preserve">European Union </w:t>
      </w:r>
      <w:r w:rsidR="008E25E3" w:rsidRPr="006B306B">
        <w:rPr>
          <w:noProof w:val="0"/>
        </w:rPr>
        <w:t>L</w:t>
      </w:r>
      <w:r w:rsidRPr="006B306B">
        <w:rPr>
          <w:noProof w:val="0"/>
        </w:rPr>
        <w:t>aw</w:t>
      </w:r>
    </w:p>
    <w:p w14:paraId="5F33FDD1" w14:textId="77777777" w:rsidR="00AA16D8" w:rsidRPr="006B306B" w:rsidRDefault="00446CE2">
      <w:pPr>
        <w:pStyle w:val="Titolo2"/>
        <w:rPr>
          <w:noProof w:val="0"/>
        </w:rPr>
      </w:pPr>
      <w:r w:rsidRPr="006B306B">
        <w:rPr>
          <w:noProof w:val="0"/>
        </w:rPr>
        <w:t>Prof. Chiara Marenghi</w:t>
      </w:r>
    </w:p>
    <w:p w14:paraId="39DAC320" w14:textId="77777777" w:rsidR="00730CF7" w:rsidRPr="006B306B" w:rsidRDefault="00730CF7" w:rsidP="00730CF7">
      <w:pPr>
        <w:tabs>
          <w:tab w:val="left" w:pos="284"/>
        </w:tabs>
        <w:spacing w:before="240" w:after="120"/>
        <w:rPr>
          <w:rFonts w:eastAsia="Times New Roman"/>
          <w:b/>
          <w:i/>
          <w:sz w:val="18"/>
          <w:lang w:val="en-US"/>
        </w:rPr>
      </w:pPr>
      <w:r w:rsidRPr="006B306B">
        <w:rPr>
          <w:rFonts w:eastAsia="Times New Roman"/>
          <w:b/>
          <w:i/>
          <w:sz w:val="18"/>
          <w:lang w:val="en-US"/>
        </w:rPr>
        <w:t xml:space="preserve">COURSE AIMS AND INTENDED LEARNING OUTCOMES </w:t>
      </w:r>
    </w:p>
    <w:p w14:paraId="16FCB004" w14:textId="6159238F" w:rsidR="008F00C0" w:rsidRDefault="00446CE2" w:rsidP="00014D43">
      <w:pPr>
        <w:spacing w:after="120"/>
      </w:pPr>
      <w:r w:rsidRPr="006B306B">
        <w:t>The course aims to provide specialised knowledge</w:t>
      </w:r>
      <w:r w:rsidR="00686EE6">
        <w:t xml:space="preserve"> </w:t>
      </w:r>
      <w:r w:rsidRPr="006B306B">
        <w:t xml:space="preserve">of European Union law and its impact on the Italian legal </w:t>
      </w:r>
      <w:r w:rsidR="006E3BFE">
        <w:t>system</w:t>
      </w:r>
      <w:r w:rsidRPr="006B306B">
        <w:t xml:space="preserve">. </w:t>
      </w:r>
      <w:r w:rsidR="00A97B09">
        <w:t>T</w:t>
      </w:r>
      <w:r w:rsidR="008F00C0" w:rsidRPr="005A7464">
        <w:t xml:space="preserve">he first part of the course </w:t>
      </w:r>
      <w:r w:rsidR="00A97B09">
        <w:t xml:space="preserve">will be dedicated to an in-depth study of </w:t>
      </w:r>
      <w:r w:rsidR="008F00C0" w:rsidRPr="005A7464">
        <w:t xml:space="preserve">the </w:t>
      </w:r>
      <w:r w:rsidR="008F00C0" w:rsidRPr="005A7464">
        <w:rPr>
          <w:i/>
        </w:rPr>
        <w:t xml:space="preserve">institutional profiles </w:t>
      </w:r>
      <w:r w:rsidR="008F00C0" w:rsidRPr="005A7464">
        <w:rPr>
          <w:iCs/>
        </w:rPr>
        <w:t>of</w:t>
      </w:r>
      <w:r w:rsidR="008F00C0" w:rsidRPr="005A7464">
        <w:rPr>
          <w:i/>
        </w:rPr>
        <w:t xml:space="preserve"> </w:t>
      </w:r>
      <w:r w:rsidR="008F00C0" w:rsidRPr="005A7464">
        <w:t>the Union</w:t>
      </w:r>
      <w:r w:rsidR="008F00C0" w:rsidRPr="00DB092E">
        <w:t xml:space="preserve"> as a </w:t>
      </w:r>
      <w:r w:rsidR="00A97B09">
        <w:t>sui generis</w:t>
      </w:r>
      <w:r w:rsidR="008F00C0" w:rsidRPr="00DB092E">
        <w:t xml:space="preserve"> inter</w:t>
      </w:r>
      <w:r w:rsidR="00A97B09">
        <w:t xml:space="preserve">national </w:t>
      </w:r>
      <w:r w:rsidR="008F00C0" w:rsidRPr="00DB092E">
        <w:t xml:space="preserve">organisation </w:t>
      </w:r>
      <w:r w:rsidR="00A97B09">
        <w:t xml:space="preserve">which gives form to the highest level of integration among its members. </w:t>
      </w:r>
      <w:r w:rsidR="00014D43">
        <w:t>In t</w:t>
      </w:r>
      <w:r w:rsidR="008F00C0" w:rsidRPr="00DB092E">
        <w:t xml:space="preserve">he second part of the course </w:t>
      </w:r>
      <w:r w:rsidR="00014D43">
        <w:t xml:space="preserve">the </w:t>
      </w:r>
      <w:r w:rsidR="008F00C0" w:rsidRPr="00DB092E">
        <w:rPr>
          <w:i/>
        </w:rPr>
        <w:t>material law of the Union</w:t>
      </w:r>
      <w:r w:rsidR="00014D43">
        <w:rPr>
          <w:iCs/>
        </w:rPr>
        <w:t xml:space="preserve"> will be analysed</w:t>
      </w:r>
      <w:r w:rsidR="008F00C0" w:rsidRPr="00DB092E">
        <w:t xml:space="preserve">, with </w:t>
      </w:r>
      <w:proofErr w:type="gramStart"/>
      <w:r w:rsidR="008F00C0" w:rsidRPr="00DB092E">
        <w:t>particular regard</w:t>
      </w:r>
      <w:proofErr w:type="gramEnd"/>
      <w:r w:rsidR="008F00C0" w:rsidRPr="00DB092E">
        <w:t xml:space="preserve"> to</w:t>
      </w:r>
      <w:r w:rsidR="00014D43">
        <w:t xml:space="preserve"> policies regulating the</w:t>
      </w:r>
      <w:r w:rsidR="008F00C0" w:rsidRPr="00DB092E">
        <w:t xml:space="preserve"> </w:t>
      </w:r>
      <w:r w:rsidR="00014D43">
        <w:rPr>
          <w:i/>
          <w:iCs/>
        </w:rPr>
        <w:t xml:space="preserve">internal market </w:t>
      </w:r>
      <w:r w:rsidR="008F00C0" w:rsidRPr="00DB092E">
        <w:t xml:space="preserve">and the </w:t>
      </w:r>
      <w:r w:rsidR="008F00C0" w:rsidRPr="00DB092E">
        <w:rPr>
          <w:i/>
        </w:rPr>
        <w:t>area of freedom, security and justice</w:t>
      </w:r>
      <w:r w:rsidR="008F00C0" w:rsidRPr="00DB092E">
        <w:t xml:space="preserve">. </w:t>
      </w:r>
      <w:r w:rsidR="00014D43">
        <w:t xml:space="preserve">Both parts will </w:t>
      </w:r>
      <w:r w:rsidR="00A56266">
        <w:t>put</w:t>
      </w:r>
      <w:r w:rsidR="00014D43">
        <w:t xml:space="preserve"> special emphasis</w:t>
      </w:r>
      <w:r w:rsidR="00A56266">
        <w:t xml:space="preserve"> on current issues affecting the European integration process. </w:t>
      </w:r>
      <w:r w:rsidR="00014D43">
        <w:t xml:space="preserve">  </w:t>
      </w:r>
    </w:p>
    <w:p w14:paraId="79D9BD3F" w14:textId="77777777" w:rsidR="004D05F7" w:rsidRPr="006B306B" w:rsidRDefault="004D05F7" w:rsidP="00054B9E"/>
    <w:p w14:paraId="313E0A0E" w14:textId="77777777" w:rsidR="005A5DBB" w:rsidRPr="006B306B" w:rsidRDefault="004D05F7" w:rsidP="004D05F7">
      <w:pPr>
        <w:pStyle w:val="CorpoA"/>
        <w:rPr>
          <w:i/>
          <w:color w:val="auto"/>
          <w:lang w:val="en-GB"/>
        </w:rPr>
      </w:pPr>
      <w:r w:rsidRPr="006B306B">
        <w:rPr>
          <w:i/>
          <w:color w:val="auto"/>
          <w:lang w:val="en-GB"/>
        </w:rPr>
        <w:t>Intended learning outcomes</w:t>
      </w:r>
    </w:p>
    <w:p w14:paraId="341491C7" w14:textId="77777777" w:rsidR="00780E5D" w:rsidRPr="006B306B" w:rsidRDefault="00780E5D" w:rsidP="00054B9E">
      <w:pPr>
        <w:rPr>
          <w:sz w:val="16"/>
          <w:lang w:val="en-US"/>
        </w:rPr>
      </w:pPr>
      <w:r w:rsidRPr="006B306B">
        <w:rPr>
          <w:sz w:val="16"/>
          <w:lang w:val="en-US"/>
        </w:rPr>
        <w:t>KNOWLEDGE AND UNDERSTANDING</w:t>
      </w:r>
    </w:p>
    <w:p w14:paraId="14295F34" w14:textId="128AD0AE" w:rsidR="00054B9E" w:rsidRPr="006B306B" w:rsidRDefault="00780E5D" w:rsidP="002F5BCB">
      <w:r w:rsidRPr="006B306B">
        <w:t xml:space="preserve">At the end of the course, students will be able to understand the </w:t>
      </w:r>
      <w:r w:rsidR="00A56266">
        <w:t>uniqueness</w:t>
      </w:r>
      <w:r w:rsidRPr="006B306B">
        <w:t xml:space="preserve"> of the European Union among international </w:t>
      </w:r>
      <w:proofErr w:type="gramStart"/>
      <w:r w:rsidRPr="006B306B">
        <w:t>organisations</w:t>
      </w:r>
      <w:r w:rsidR="00A56266">
        <w:t xml:space="preserve"> as a whole</w:t>
      </w:r>
      <w:r w:rsidRPr="006B306B">
        <w:t>, its</w:t>
      </w:r>
      <w:proofErr w:type="gramEnd"/>
      <w:r w:rsidRPr="006B306B">
        <w:t xml:space="preserve"> institutional architecture, and the dynamics at the basis of the European integration process, with focus on the tension between </w:t>
      </w:r>
      <w:r w:rsidR="00A56266">
        <w:t>its</w:t>
      </w:r>
      <w:r w:rsidRPr="006B306B">
        <w:t xml:space="preserve"> </w:t>
      </w:r>
      <w:r w:rsidR="002F5BCB" w:rsidRPr="006B306B">
        <w:t xml:space="preserve">supranational </w:t>
      </w:r>
      <w:r w:rsidR="00A56266">
        <w:t>dimension</w:t>
      </w:r>
      <w:r w:rsidR="002F5BCB" w:rsidRPr="006B306B">
        <w:t xml:space="preserve"> and </w:t>
      </w:r>
      <w:r w:rsidR="008337AE">
        <w:t>its</w:t>
      </w:r>
      <w:r w:rsidR="002F5BCB" w:rsidRPr="006B306B">
        <w:t xml:space="preserve"> intergovernmental one. Furthermore, students will be able to describe the characteristics and the sources of the EU legal framework, and its relationship with national </w:t>
      </w:r>
      <w:r w:rsidR="008337AE">
        <w:t>legal orders</w:t>
      </w:r>
      <w:r w:rsidR="002F5BCB" w:rsidRPr="006B306B">
        <w:t xml:space="preserve">. Finally, they will be able to distinguish the different legal regimes </w:t>
      </w:r>
      <w:r w:rsidR="008337AE">
        <w:t xml:space="preserve">regulating the internal market and the area of freedom, </w:t>
      </w:r>
      <w:proofErr w:type="gramStart"/>
      <w:r w:rsidR="008337AE">
        <w:t>security</w:t>
      </w:r>
      <w:proofErr w:type="gramEnd"/>
      <w:r w:rsidR="008337AE">
        <w:t xml:space="preserve"> and justice. </w:t>
      </w:r>
    </w:p>
    <w:p w14:paraId="1236148D" w14:textId="77777777" w:rsidR="00054B9E" w:rsidRPr="006B306B" w:rsidRDefault="00054B9E" w:rsidP="00054B9E"/>
    <w:p w14:paraId="3FBF23B7" w14:textId="77777777" w:rsidR="00054B9E" w:rsidRPr="006B306B" w:rsidRDefault="002F5BCB" w:rsidP="00054B9E">
      <w:pPr>
        <w:rPr>
          <w:sz w:val="16"/>
        </w:rPr>
      </w:pPr>
      <w:r w:rsidRPr="006B306B">
        <w:rPr>
          <w:sz w:val="16"/>
        </w:rPr>
        <w:t>ABILITY TO APPLY KNOWLEDGE AND UNDERSTANDING</w:t>
      </w:r>
    </w:p>
    <w:p w14:paraId="22C9E9B1" w14:textId="3558F7D6" w:rsidR="00054B9E" w:rsidRPr="006B306B" w:rsidRDefault="002F5BCB" w:rsidP="00054B9E">
      <w:r w:rsidRPr="006B306B">
        <w:t xml:space="preserve">At the end of the course, students will be able to make full use of the legal terminology of European Union </w:t>
      </w:r>
      <w:r w:rsidR="00D22349" w:rsidRPr="006B306B">
        <w:t>law and</w:t>
      </w:r>
      <w:r w:rsidRPr="006B306B">
        <w:t xml:space="preserve"> carry out a critical analysis of its sources </w:t>
      </w:r>
      <w:r w:rsidR="00A52E14">
        <w:t>along with</w:t>
      </w:r>
      <w:r w:rsidRPr="006B306B">
        <w:t xml:space="preserve"> the case law of the European Court of Justice.</w:t>
      </w:r>
      <w:r w:rsidR="00781A5A" w:rsidRPr="006B306B">
        <w:t xml:space="preserve"> In addition, students will be able to solve legal issues regarding the </w:t>
      </w:r>
      <w:r w:rsidR="001F6BB9">
        <w:t>relationship</w:t>
      </w:r>
      <w:r w:rsidR="00781A5A" w:rsidRPr="006B306B">
        <w:t xml:space="preserve"> between the EU legal </w:t>
      </w:r>
      <w:r w:rsidR="001F6BB9">
        <w:t>order</w:t>
      </w:r>
      <w:r w:rsidR="00781A5A" w:rsidRPr="006B306B">
        <w:t xml:space="preserve"> and national </w:t>
      </w:r>
      <w:r w:rsidR="001F6BB9">
        <w:t>ones</w:t>
      </w:r>
      <w:r w:rsidR="00781A5A" w:rsidRPr="006B306B">
        <w:t xml:space="preserve">. Finally, </w:t>
      </w:r>
      <w:r w:rsidR="001F6BB9">
        <w:t xml:space="preserve">they will acquire a study method which </w:t>
      </w:r>
      <w:r w:rsidR="00CE0B70">
        <w:t xml:space="preserve">applies to EU policies not covered in the course. </w:t>
      </w:r>
    </w:p>
    <w:p w14:paraId="3716E658" w14:textId="77777777" w:rsidR="00054B9E" w:rsidRPr="006B306B" w:rsidRDefault="00054B9E" w:rsidP="00054B9E"/>
    <w:p w14:paraId="048F9CE8" w14:textId="77777777" w:rsidR="00AA16D8" w:rsidRPr="006B306B" w:rsidRDefault="00446CE2" w:rsidP="00054B9E">
      <w:pPr>
        <w:rPr>
          <w:b/>
          <w:sz w:val="18"/>
        </w:rPr>
      </w:pPr>
      <w:r w:rsidRPr="006B306B">
        <w:rPr>
          <w:b/>
          <w:i/>
          <w:sz w:val="18"/>
        </w:rPr>
        <w:t>COURSE CONTENT</w:t>
      </w:r>
    </w:p>
    <w:p w14:paraId="14832914" w14:textId="77777777" w:rsidR="00AA16D8" w:rsidRPr="006B306B" w:rsidRDefault="00446CE2">
      <w:r w:rsidRPr="006B306B">
        <w:rPr>
          <w:i/>
        </w:rPr>
        <w:t>1. General part: institutional profiles</w:t>
      </w:r>
    </w:p>
    <w:p w14:paraId="06CBB1F8" w14:textId="0CC601DF" w:rsidR="00AA16D8" w:rsidRPr="006B306B" w:rsidRDefault="00446CE2">
      <w:pPr>
        <w:pStyle w:val="Paragrafoelenco"/>
        <w:numPr>
          <w:ilvl w:val="0"/>
          <w:numId w:val="2"/>
        </w:numPr>
        <w:rPr>
          <w:color w:val="000000"/>
          <w:shd w:val="clear" w:color="auto" w:fill="FFFFFF"/>
        </w:rPr>
      </w:pPr>
      <w:r w:rsidRPr="006B306B">
        <w:rPr>
          <w:color w:val="000000"/>
          <w:shd w:val="clear" w:color="auto" w:fill="FFFFFF"/>
        </w:rPr>
        <w:t>Origins and development of the process of European integration</w:t>
      </w:r>
    </w:p>
    <w:p w14:paraId="4F77386E" w14:textId="77777777" w:rsidR="00AA16D8" w:rsidRPr="006B306B" w:rsidRDefault="00446CE2">
      <w:pPr>
        <w:pStyle w:val="Paragrafoelenco"/>
        <w:numPr>
          <w:ilvl w:val="0"/>
          <w:numId w:val="2"/>
        </w:numPr>
        <w:rPr>
          <w:color w:val="000000"/>
          <w:shd w:val="clear" w:color="auto" w:fill="FFFFFF"/>
        </w:rPr>
      </w:pPr>
      <w:r w:rsidRPr="006B306B">
        <w:rPr>
          <w:color w:val="000000"/>
          <w:shd w:val="clear" w:color="auto" w:fill="FFFFFF"/>
        </w:rPr>
        <w:t>Characteristics of the European Union, founding values ​​and objectives</w:t>
      </w:r>
    </w:p>
    <w:p w14:paraId="2BBCBCCA" w14:textId="6DEBDE8F" w:rsidR="00AA16D8" w:rsidRPr="006B306B" w:rsidRDefault="00446CE2">
      <w:pPr>
        <w:pStyle w:val="Paragrafoelenco"/>
        <w:numPr>
          <w:ilvl w:val="0"/>
          <w:numId w:val="2"/>
        </w:numPr>
        <w:rPr>
          <w:color w:val="000000"/>
          <w:shd w:val="clear" w:color="auto" w:fill="FFFFFF"/>
        </w:rPr>
      </w:pPr>
      <w:r w:rsidRPr="006B306B">
        <w:rPr>
          <w:color w:val="000000"/>
          <w:shd w:val="clear" w:color="auto" w:fill="FFFFFF"/>
        </w:rPr>
        <w:t xml:space="preserve">The system of </w:t>
      </w:r>
      <w:r w:rsidR="00CE0B70">
        <w:rPr>
          <w:color w:val="000000"/>
          <w:shd w:val="clear" w:color="auto" w:fill="FFFFFF"/>
        </w:rPr>
        <w:t xml:space="preserve">EU competences </w:t>
      </w:r>
    </w:p>
    <w:p w14:paraId="02A34949" w14:textId="23428D79" w:rsidR="00AA16D8" w:rsidRPr="006B306B" w:rsidRDefault="00446CE2">
      <w:pPr>
        <w:pStyle w:val="Paragrafoelenco"/>
        <w:numPr>
          <w:ilvl w:val="0"/>
          <w:numId w:val="2"/>
        </w:numPr>
        <w:rPr>
          <w:color w:val="000000"/>
          <w:shd w:val="clear" w:color="auto" w:fill="FFFFFF"/>
        </w:rPr>
      </w:pPr>
      <w:r w:rsidRPr="006B306B">
        <w:rPr>
          <w:color w:val="000000"/>
          <w:shd w:val="clear" w:color="auto" w:fill="FFFFFF"/>
        </w:rPr>
        <w:lastRenderedPageBreak/>
        <w:t>The institutional framework (institutions, bodies</w:t>
      </w:r>
      <w:r w:rsidR="00CE0B70">
        <w:rPr>
          <w:color w:val="000000"/>
          <w:shd w:val="clear" w:color="auto" w:fill="FFFFFF"/>
        </w:rPr>
        <w:t>,</w:t>
      </w:r>
      <w:r w:rsidRPr="006B306B">
        <w:rPr>
          <w:color w:val="000000"/>
          <w:shd w:val="clear" w:color="auto" w:fill="FFFFFF"/>
        </w:rPr>
        <w:t xml:space="preserve"> and agencies)</w:t>
      </w:r>
    </w:p>
    <w:p w14:paraId="4D3F15F7" w14:textId="60027070" w:rsidR="00D35E01" w:rsidRPr="006B306B" w:rsidRDefault="006B306B" w:rsidP="00D35E01">
      <w:pPr>
        <w:pStyle w:val="Paragrafoelenco"/>
        <w:numPr>
          <w:ilvl w:val="0"/>
          <w:numId w:val="2"/>
        </w:numPr>
        <w:rPr>
          <w:color w:val="000000"/>
          <w:shd w:val="clear" w:color="auto" w:fill="FFFFFF"/>
        </w:rPr>
      </w:pPr>
      <w:r w:rsidRPr="006B306B">
        <w:rPr>
          <w:color w:val="000000"/>
          <w:shd w:val="clear" w:color="auto" w:fill="FFFFFF"/>
        </w:rPr>
        <w:t xml:space="preserve">The </w:t>
      </w:r>
      <w:r w:rsidR="000F4C4A" w:rsidRPr="006B306B">
        <w:rPr>
          <w:color w:val="000000"/>
          <w:shd w:val="clear" w:color="auto" w:fill="FFFFFF"/>
        </w:rPr>
        <w:t xml:space="preserve">EU legal system and its sources </w:t>
      </w:r>
    </w:p>
    <w:p w14:paraId="083A712A" w14:textId="77777777" w:rsidR="00AA16D8" w:rsidRPr="006B306B" w:rsidRDefault="00446CE2">
      <w:pPr>
        <w:pStyle w:val="Paragrafoelenco"/>
        <w:numPr>
          <w:ilvl w:val="0"/>
          <w:numId w:val="2"/>
        </w:numPr>
        <w:rPr>
          <w:color w:val="000000"/>
          <w:shd w:val="clear" w:color="auto" w:fill="FFFFFF"/>
        </w:rPr>
      </w:pPr>
      <w:r w:rsidRPr="006B306B">
        <w:rPr>
          <w:color w:val="000000"/>
          <w:shd w:val="clear" w:color="auto" w:fill="FFFFFF"/>
        </w:rPr>
        <w:t>EU law and domestic law</w:t>
      </w:r>
    </w:p>
    <w:p w14:paraId="451406DD" w14:textId="77777777" w:rsidR="00AA16D8" w:rsidRPr="006B306B" w:rsidRDefault="00446CE2">
      <w:pPr>
        <w:pStyle w:val="Paragrafoelenco"/>
        <w:numPr>
          <w:ilvl w:val="0"/>
          <w:numId w:val="2"/>
        </w:numPr>
        <w:rPr>
          <w:color w:val="000000"/>
          <w:shd w:val="clear" w:color="auto" w:fill="FFFFFF"/>
        </w:rPr>
      </w:pPr>
      <w:r w:rsidRPr="006B306B">
        <w:rPr>
          <w:color w:val="000000"/>
          <w:shd w:val="clear" w:color="auto" w:fill="FFFFFF"/>
        </w:rPr>
        <w:t>The judicial protection of rights</w:t>
      </w:r>
    </w:p>
    <w:p w14:paraId="2C582560" w14:textId="77777777" w:rsidR="00AA16D8" w:rsidRPr="006B306B" w:rsidRDefault="00AA16D8">
      <w:pPr>
        <w:rPr>
          <w:color w:val="000000"/>
          <w:shd w:val="clear" w:color="auto" w:fill="FFFFFF"/>
        </w:rPr>
      </w:pPr>
    </w:p>
    <w:p w14:paraId="4C9EAC97" w14:textId="77777777" w:rsidR="00AA16D8" w:rsidRPr="006B306B" w:rsidRDefault="00446CE2">
      <w:pPr>
        <w:rPr>
          <w:i/>
          <w:color w:val="000000"/>
          <w:shd w:val="clear" w:color="auto" w:fill="FFFFFF"/>
        </w:rPr>
      </w:pPr>
      <w:r w:rsidRPr="006B306B">
        <w:rPr>
          <w:i/>
          <w:color w:val="000000"/>
          <w:shd w:val="clear" w:color="auto" w:fill="FFFFFF"/>
        </w:rPr>
        <w:t xml:space="preserve">2. Special part: substantive law </w:t>
      </w:r>
    </w:p>
    <w:p w14:paraId="7E4FF917" w14:textId="5C545A75" w:rsidR="00C25607" w:rsidRDefault="00030FE5" w:rsidP="008E25E3">
      <w:pPr>
        <w:pStyle w:val="Paragrafoelenco"/>
        <w:numPr>
          <w:ilvl w:val="0"/>
          <w:numId w:val="2"/>
        </w:numPr>
        <w:rPr>
          <w:color w:val="000000"/>
          <w:shd w:val="clear" w:color="auto" w:fill="FFFFFF"/>
        </w:rPr>
      </w:pPr>
      <w:r w:rsidRPr="006B306B">
        <w:rPr>
          <w:color w:val="000000"/>
          <w:shd w:val="clear" w:color="auto" w:fill="FFFFFF"/>
        </w:rPr>
        <w:t>T</w:t>
      </w:r>
      <w:r w:rsidR="00054B9E" w:rsidRPr="006B306B">
        <w:rPr>
          <w:color w:val="000000"/>
          <w:shd w:val="clear" w:color="auto" w:fill="FFFFFF"/>
        </w:rPr>
        <w:t xml:space="preserve">he </w:t>
      </w:r>
      <w:r w:rsidR="00CE0B70">
        <w:rPr>
          <w:color w:val="000000"/>
          <w:shd w:val="clear" w:color="auto" w:fill="FFFFFF"/>
        </w:rPr>
        <w:t>internal market</w:t>
      </w:r>
    </w:p>
    <w:p w14:paraId="2B1F30AB" w14:textId="2DA25050" w:rsidR="00CE0B70" w:rsidRPr="006B306B" w:rsidRDefault="00CE0B70" w:rsidP="008E25E3">
      <w:pPr>
        <w:pStyle w:val="Paragrafoelenco"/>
        <w:numPr>
          <w:ilvl w:val="0"/>
          <w:numId w:val="2"/>
        </w:num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The area of freedom, </w:t>
      </w:r>
      <w:proofErr w:type="gramStart"/>
      <w:r>
        <w:rPr>
          <w:color w:val="000000"/>
          <w:shd w:val="clear" w:color="auto" w:fill="FFFFFF"/>
        </w:rPr>
        <w:t>security</w:t>
      </w:r>
      <w:proofErr w:type="gramEnd"/>
      <w:r>
        <w:rPr>
          <w:color w:val="000000"/>
          <w:shd w:val="clear" w:color="auto" w:fill="FFFFFF"/>
        </w:rPr>
        <w:t xml:space="preserve"> and justice</w:t>
      </w:r>
    </w:p>
    <w:p w14:paraId="5D13D832" w14:textId="77777777" w:rsidR="00AA16D8" w:rsidRPr="006B306B" w:rsidRDefault="00446CE2">
      <w:pPr>
        <w:keepNext/>
        <w:spacing w:before="240" w:after="120"/>
        <w:rPr>
          <w:b/>
          <w:sz w:val="18"/>
          <w:szCs w:val="18"/>
        </w:rPr>
      </w:pPr>
      <w:r w:rsidRPr="006B306B">
        <w:rPr>
          <w:b/>
          <w:i/>
          <w:sz w:val="18"/>
          <w:szCs w:val="18"/>
        </w:rPr>
        <w:t>READING LIST</w:t>
      </w:r>
    </w:p>
    <w:p w14:paraId="5D59E548" w14:textId="77777777" w:rsidR="00C25607" w:rsidRPr="006B306B" w:rsidRDefault="00030FE5" w:rsidP="00C25607">
      <w:pPr>
        <w:pStyle w:val="Testo1"/>
        <w:spacing w:after="120" w:line="240" w:lineRule="atLeast"/>
        <w:ind w:left="0" w:firstLine="0"/>
        <w:rPr>
          <w:spacing w:val="-5"/>
        </w:rPr>
      </w:pPr>
      <w:r w:rsidRPr="006B306B">
        <w:rPr>
          <w:spacing w:val="-5"/>
        </w:rPr>
        <w:t xml:space="preserve">For the </w:t>
      </w:r>
      <w:r w:rsidRPr="006B306B">
        <w:rPr>
          <w:i/>
          <w:spacing w:val="-5"/>
        </w:rPr>
        <w:t>general part</w:t>
      </w:r>
      <w:r w:rsidRPr="006B306B">
        <w:rPr>
          <w:spacing w:val="-5"/>
        </w:rPr>
        <w:t>:</w:t>
      </w:r>
    </w:p>
    <w:p w14:paraId="4D07E475" w14:textId="49951B5B" w:rsidR="00CE0B70" w:rsidRPr="00CE0B70" w:rsidRDefault="00CE0B70" w:rsidP="00CE0B70">
      <w:pPr>
        <w:pStyle w:val="Testo1"/>
        <w:spacing w:line="240" w:lineRule="atLeast"/>
        <w:rPr>
          <w:rStyle w:val="Collegamentoipertestuale"/>
          <w:spacing w:val="-5"/>
          <w:szCs w:val="18"/>
          <w:lang w:val="it-IT"/>
        </w:rPr>
      </w:pPr>
      <w:r w:rsidRPr="00CE0B70">
        <w:rPr>
          <w:smallCaps/>
          <w:spacing w:val="-5"/>
          <w:szCs w:val="18"/>
          <w:lang w:val="it-IT"/>
        </w:rPr>
        <w:t>U. Draetta-F. Bestagno-A. Santini,</w:t>
      </w:r>
      <w:r w:rsidRPr="00CE0B70">
        <w:rPr>
          <w:i/>
          <w:spacing w:val="-5"/>
          <w:szCs w:val="18"/>
          <w:lang w:val="it-IT"/>
        </w:rPr>
        <w:t xml:space="preserve"> Elementi di diritto dell’Unione Europea. Parte istituzionale,</w:t>
      </w:r>
      <w:r w:rsidRPr="00CE0B70">
        <w:rPr>
          <w:spacing w:val="-5"/>
          <w:szCs w:val="18"/>
          <w:lang w:val="it-IT"/>
        </w:rPr>
        <w:t xml:space="preserve"> Giuffrè Francis Lefebvre, Milano, 2022, 7</w:t>
      </w:r>
      <w:r w:rsidR="00D22349">
        <w:rPr>
          <w:spacing w:val="-5"/>
          <w:szCs w:val="18"/>
          <w:vertAlign w:val="superscript"/>
          <w:lang w:val="it-IT"/>
        </w:rPr>
        <w:t>th</w:t>
      </w:r>
      <w:r w:rsidRPr="00CE0B70">
        <w:rPr>
          <w:spacing w:val="-5"/>
          <w:szCs w:val="18"/>
          <w:lang w:val="it-IT"/>
        </w:rPr>
        <w:t xml:space="preserve"> ed. </w:t>
      </w:r>
      <w:hyperlink r:id="rId5" w:history="1">
        <w:r w:rsidRPr="00CE0B70">
          <w:rPr>
            <w:rStyle w:val="Collegamentoipertestuale"/>
            <w:spacing w:val="-5"/>
            <w:szCs w:val="18"/>
            <w:lang w:val="it-IT"/>
          </w:rPr>
          <w:t>Acquista da V&amp;P</w:t>
        </w:r>
      </w:hyperlink>
    </w:p>
    <w:p w14:paraId="42D4378B" w14:textId="28630BB0" w:rsidR="00CE0B70" w:rsidRPr="00CE0B70" w:rsidRDefault="00CE0B70" w:rsidP="00CE0B70">
      <w:pPr>
        <w:pStyle w:val="Testo1"/>
        <w:spacing w:line="240" w:lineRule="atLeast"/>
        <w:rPr>
          <w:spacing w:val="-5"/>
          <w:sz w:val="16"/>
          <w:lang w:val="it-IT"/>
        </w:rPr>
      </w:pPr>
      <w:r w:rsidRPr="00CE0B70">
        <w:rPr>
          <w:spacing w:val="-5"/>
          <w:sz w:val="16"/>
          <w:lang w:val="it-IT"/>
        </w:rPr>
        <w:t>o</w:t>
      </w:r>
      <w:r w:rsidR="00951017">
        <w:rPr>
          <w:spacing w:val="-5"/>
          <w:sz w:val="16"/>
          <w:lang w:val="it-IT"/>
        </w:rPr>
        <w:t>r</w:t>
      </w:r>
    </w:p>
    <w:p w14:paraId="62639D92" w14:textId="77777777" w:rsidR="00CE0B70" w:rsidRPr="00CE0B70" w:rsidRDefault="00CE0B70" w:rsidP="00CE0B70">
      <w:pPr>
        <w:pStyle w:val="Testo1"/>
        <w:spacing w:line="240" w:lineRule="atLeast"/>
        <w:rPr>
          <w:smallCaps/>
          <w:szCs w:val="18"/>
          <w:lang w:val="it-IT"/>
        </w:rPr>
      </w:pPr>
    </w:p>
    <w:p w14:paraId="22A0CE38" w14:textId="36102411" w:rsidR="00CE0B70" w:rsidRPr="00CE0B70" w:rsidRDefault="00CE0B70" w:rsidP="00CE0B70">
      <w:pPr>
        <w:pStyle w:val="Testo1"/>
        <w:spacing w:line="240" w:lineRule="atLeast"/>
        <w:rPr>
          <w:rStyle w:val="Collegamentoipertestuale"/>
          <w:spacing w:val="-5"/>
          <w:szCs w:val="18"/>
          <w:lang w:val="it-IT"/>
        </w:rPr>
      </w:pPr>
      <w:r w:rsidRPr="00CE0B70">
        <w:rPr>
          <w:smallCaps/>
          <w:szCs w:val="18"/>
          <w:lang w:val="it-IT"/>
        </w:rPr>
        <w:t>N. Parisi-V. Petralia</w:t>
      </w:r>
      <w:r w:rsidRPr="00CE0B70">
        <w:rPr>
          <w:szCs w:val="18"/>
          <w:lang w:val="it-IT"/>
        </w:rPr>
        <w:t xml:space="preserve">, </w:t>
      </w:r>
      <w:r w:rsidRPr="00CE0B70">
        <w:rPr>
          <w:i/>
          <w:szCs w:val="18"/>
          <w:lang w:val="it-IT"/>
        </w:rPr>
        <w:t>Elementi di diritto</w:t>
      </w:r>
      <w:r w:rsidRPr="00CE0B70">
        <w:rPr>
          <w:szCs w:val="18"/>
          <w:lang w:val="it-IT"/>
        </w:rPr>
        <w:t xml:space="preserve"> </w:t>
      </w:r>
      <w:r w:rsidRPr="00CE0B70">
        <w:rPr>
          <w:i/>
          <w:szCs w:val="18"/>
          <w:lang w:val="it-IT"/>
        </w:rPr>
        <w:t>dell’Unione europea</w:t>
      </w:r>
      <w:r w:rsidRPr="00CE0B70">
        <w:rPr>
          <w:szCs w:val="18"/>
          <w:lang w:val="it-IT"/>
        </w:rPr>
        <w:t xml:space="preserve">, Le Monnier Università, Firenze, </w:t>
      </w:r>
      <w:r w:rsidR="00D22349">
        <w:rPr>
          <w:szCs w:val="18"/>
          <w:lang w:val="it-IT"/>
        </w:rPr>
        <w:t>latest</w:t>
      </w:r>
      <w:r w:rsidRPr="00CE0B70">
        <w:rPr>
          <w:szCs w:val="18"/>
          <w:lang w:val="it-IT"/>
        </w:rPr>
        <w:t xml:space="preserve"> ed. </w:t>
      </w:r>
      <w:hyperlink r:id="rId6" w:history="1">
        <w:r w:rsidRPr="00CE0B70">
          <w:rPr>
            <w:rStyle w:val="Collegamentoipertestuale"/>
            <w:spacing w:val="-5"/>
            <w:lang w:val="it-IT"/>
          </w:rPr>
          <w:t>Acquista da V&amp;P</w:t>
        </w:r>
      </w:hyperlink>
    </w:p>
    <w:p w14:paraId="0E140E91" w14:textId="77777777" w:rsidR="00CE0B70" w:rsidRPr="00CE0B70" w:rsidRDefault="00CE0B70" w:rsidP="00CE0B70">
      <w:pPr>
        <w:pStyle w:val="Testo1"/>
        <w:spacing w:line="240" w:lineRule="atLeast"/>
        <w:rPr>
          <w:rStyle w:val="Collegamentoipertestuale"/>
          <w:spacing w:val="-5"/>
          <w:lang w:val="it-IT"/>
        </w:rPr>
      </w:pPr>
    </w:p>
    <w:p w14:paraId="327F8A72" w14:textId="1FDB6029" w:rsidR="00CE0B70" w:rsidRPr="00951017" w:rsidRDefault="00951017" w:rsidP="00CE0B70">
      <w:pPr>
        <w:pStyle w:val="Testo1"/>
        <w:spacing w:line="240" w:lineRule="atLeast"/>
        <w:rPr>
          <w:spacing w:val="-5"/>
          <w:szCs w:val="18"/>
          <w:lang w:val="it-IT"/>
        </w:rPr>
      </w:pPr>
      <w:r w:rsidRPr="00951017">
        <w:rPr>
          <w:spacing w:val="-5"/>
          <w:szCs w:val="18"/>
          <w:lang w:val="it-IT"/>
        </w:rPr>
        <w:t>For the</w:t>
      </w:r>
      <w:r>
        <w:rPr>
          <w:spacing w:val="-5"/>
          <w:szCs w:val="18"/>
          <w:lang w:val="it-IT"/>
        </w:rPr>
        <w:t xml:space="preserve"> </w:t>
      </w:r>
      <w:r>
        <w:rPr>
          <w:i/>
          <w:iCs/>
          <w:spacing w:val="-5"/>
          <w:szCs w:val="18"/>
          <w:lang w:val="it-IT"/>
        </w:rPr>
        <w:t>material part:</w:t>
      </w:r>
      <w:r w:rsidRPr="00951017">
        <w:rPr>
          <w:spacing w:val="-5"/>
          <w:szCs w:val="18"/>
          <w:lang w:val="it-IT"/>
        </w:rPr>
        <w:t xml:space="preserve"> </w:t>
      </w:r>
    </w:p>
    <w:p w14:paraId="56AEBFD8" w14:textId="77777777" w:rsidR="00951017" w:rsidRDefault="00951017" w:rsidP="00CE0B70">
      <w:pPr>
        <w:pStyle w:val="Testo1"/>
        <w:spacing w:line="240" w:lineRule="atLeast"/>
        <w:rPr>
          <w:smallCaps/>
          <w:spacing w:val="-5"/>
          <w:szCs w:val="18"/>
          <w:lang w:val="it-IT"/>
        </w:rPr>
      </w:pPr>
    </w:p>
    <w:p w14:paraId="61EF12FA" w14:textId="4E96851C" w:rsidR="00CE0B70" w:rsidRPr="00CE0B70" w:rsidRDefault="00CE0B70" w:rsidP="00CE0B70">
      <w:pPr>
        <w:pStyle w:val="Testo1"/>
        <w:spacing w:line="240" w:lineRule="atLeast"/>
        <w:rPr>
          <w:spacing w:val="-5"/>
          <w:szCs w:val="18"/>
          <w:lang w:val="it-IT"/>
        </w:rPr>
      </w:pPr>
      <w:r w:rsidRPr="00CE0B70">
        <w:rPr>
          <w:smallCaps/>
          <w:spacing w:val="-5"/>
          <w:szCs w:val="18"/>
          <w:lang w:val="it-IT"/>
        </w:rPr>
        <w:t>U. Draetta-N. Parisi (</w:t>
      </w:r>
      <w:r w:rsidR="00D22349">
        <w:rPr>
          <w:spacing w:val="-5"/>
          <w:szCs w:val="18"/>
          <w:lang w:val="it-IT"/>
        </w:rPr>
        <w:t>eds.</w:t>
      </w:r>
      <w:r w:rsidRPr="00CE0B70">
        <w:rPr>
          <w:smallCaps/>
          <w:spacing w:val="-5"/>
          <w:szCs w:val="18"/>
          <w:lang w:val="it-IT"/>
        </w:rPr>
        <w:t xml:space="preserve">), </w:t>
      </w:r>
      <w:r w:rsidRPr="00CE0B70">
        <w:rPr>
          <w:i/>
          <w:spacing w:val="-5"/>
          <w:szCs w:val="18"/>
          <w:lang w:val="it-IT"/>
        </w:rPr>
        <w:t xml:space="preserve">Elementi di diritto dell’Unione europea. Parte speciale </w:t>
      </w:r>
      <w:r w:rsidRPr="00CE0B70">
        <w:rPr>
          <w:iCs/>
          <w:spacing w:val="-5"/>
          <w:szCs w:val="18"/>
          <w:lang w:val="it-IT"/>
        </w:rPr>
        <w:t>- diritto sostanziale</w:t>
      </w:r>
      <w:r w:rsidRPr="00CE0B70">
        <w:rPr>
          <w:spacing w:val="-5"/>
          <w:szCs w:val="18"/>
          <w:lang w:val="it-IT"/>
        </w:rPr>
        <w:t>, Giuffrè Francis Lefebvre, Milano, 2018, 5</w:t>
      </w:r>
      <w:r w:rsidR="00D22349">
        <w:rPr>
          <w:spacing w:val="-5"/>
          <w:szCs w:val="18"/>
          <w:vertAlign w:val="superscript"/>
          <w:lang w:val="it-IT"/>
        </w:rPr>
        <w:t>th</w:t>
      </w:r>
      <w:r w:rsidRPr="00CE0B70">
        <w:rPr>
          <w:spacing w:val="-5"/>
          <w:szCs w:val="18"/>
          <w:lang w:val="it-IT"/>
        </w:rPr>
        <w:t xml:space="preserve"> ed. </w:t>
      </w:r>
      <w:hyperlink r:id="rId7" w:history="1">
        <w:r w:rsidRPr="00CE0B70">
          <w:rPr>
            <w:rStyle w:val="Collegamentoipertestuale"/>
            <w:spacing w:val="-5"/>
            <w:szCs w:val="18"/>
            <w:lang w:val="it-IT"/>
          </w:rPr>
          <w:t>Acquista da V&amp;P</w:t>
        </w:r>
      </w:hyperlink>
    </w:p>
    <w:p w14:paraId="7BC6139B" w14:textId="77777777" w:rsidR="00AA16D8" w:rsidRPr="006B306B" w:rsidRDefault="00AA16D8">
      <w:pPr>
        <w:pStyle w:val="Testo1"/>
        <w:spacing w:line="240" w:lineRule="atLeast"/>
        <w:ind w:left="0" w:firstLine="0"/>
        <w:rPr>
          <w:noProof w:val="0"/>
          <w:szCs w:val="18"/>
          <w:lang w:val="it-IT"/>
        </w:rPr>
      </w:pPr>
    </w:p>
    <w:p w14:paraId="78EB0D34" w14:textId="19105A21" w:rsidR="00054B9E" w:rsidRPr="006B306B" w:rsidRDefault="00781A5A" w:rsidP="007F7806">
      <w:pPr>
        <w:pStyle w:val="Testo1"/>
        <w:spacing w:line="240" w:lineRule="atLeast"/>
        <w:rPr>
          <w:spacing w:val="-5"/>
        </w:rPr>
      </w:pPr>
      <w:r w:rsidRPr="006B306B">
        <w:rPr>
          <w:i/>
          <w:spacing w:val="-5"/>
        </w:rPr>
        <w:t>Students attending classes</w:t>
      </w:r>
      <w:r w:rsidRPr="006B306B">
        <w:rPr>
          <w:spacing w:val="-5"/>
        </w:rPr>
        <w:t xml:space="preserve"> will </w:t>
      </w:r>
      <w:r w:rsidR="00951017">
        <w:rPr>
          <w:spacing w:val="-5"/>
        </w:rPr>
        <w:t xml:space="preserve">be required to prepare for the exam on the basis of lecture notes along with </w:t>
      </w:r>
      <w:r w:rsidR="007F7806">
        <w:rPr>
          <w:spacing w:val="-5"/>
        </w:rPr>
        <w:t xml:space="preserve">the sections of one of the </w:t>
      </w:r>
      <w:r w:rsidRPr="006B306B">
        <w:rPr>
          <w:spacing w:val="-5"/>
        </w:rPr>
        <w:t>textbook</w:t>
      </w:r>
      <w:r w:rsidR="007F7806">
        <w:rPr>
          <w:spacing w:val="-5"/>
        </w:rPr>
        <w:t>s</w:t>
      </w:r>
      <w:r w:rsidRPr="006B306B">
        <w:rPr>
          <w:spacing w:val="-5"/>
        </w:rPr>
        <w:t xml:space="preserve"> </w:t>
      </w:r>
      <w:r w:rsidR="007F7806">
        <w:rPr>
          <w:spacing w:val="-5"/>
        </w:rPr>
        <w:t xml:space="preserve">covering the general part </w:t>
      </w:r>
      <w:r w:rsidRPr="006B306B">
        <w:rPr>
          <w:spacing w:val="-5"/>
        </w:rPr>
        <w:t>according to indications given by the lecturer</w:t>
      </w:r>
      <w:r w:rsidR="007F7806">
        <w:rPr>
          <w:spacing w:val="-5"/>
        </w:rPr>
        <w:t>, as well as supplementary</w:t>
      </w:r>
      <w:r w:rsidRPr="006B306B">
        <w:rPr>
          <w:spacing w:val="-5"/>
        </w:rPr>
        <w:t xml:space="preserve"> material that will be made available on Blackboard.</w:t>
      </w:r>
    </w:p>
    <w:p w14:paraId="1E633FCE" w14:textId="2FA333E8" w:rsidR="007F7806" w:rsidRDefault="00781A5A" w:rsidP="00781A5A">
      <w:pPr>
        <w:pStyle w:val="Testo1"/>
        <w:spacing w:line="240" w:lineRule="atLeast"/>
        <w:rPr>
          <w:spacing w:val="-5"/>
        </w:rPr>
      </w:pPr>
      <w:r w:rsidRPr="006B306B">
        <w:rPr>
          <w:i/>
          <w:spacing w:val="-5"/>
        </w:rPr>
        <w:t xml:space="preserve">Students not attending classes </w:t>
      </w:r>
      <w:r w:rsidRPr="006B306B">
        <w:rPr>
          <w:spacing w:val="-5"/>
        </w:rPr>
        <w:t xml:space="preserve">will </w:t>
      </w:r>
      <w:r w:rsidR="007F7806">
        <w:rPr>
          <w:spacing w:val="-5"/>
        </w:rPr>
        <w:t>be require</w:t>
      </w:r>
      <w:r w:rsidR="00CD1A0D">
        <w:rPr>
          <w:spacing w:val="-5"/>
        </w:rPr>
        <w:t>d</w:t>
      </w:r>
      <w:r w:rsidR="007F7806">
        <w:rPr>
          <w:spacing w:val="-5"/>
        </w:rPr>
        <w:t xml:space="preserve"> to study </w:t>
      </w:r>
      <w:r w:rsidR="00CD1A0D">
        <w:rPr>
          <w:spacing w:val="-5"/>
        </w:rPr>
        <w:t xml:space="preserve">one of the </w:t>
      </w:r>
      <w:r w:rsidR="00CD1A0D" w:rsidRPr="006B306B">
        <w:rPr>
          <w:spacing w:val="-5"/>
        </w:rPr>
        <w:t>textbook</w:t>
      </w:r>
      <w:r w:rsidR="00CD1A0D">
        <w:rPr>
          <w:spacing w:val="-5"/>
        </w:rPr>
        <w:t>s</w:t>
      </w:r>
      <w:r w:rsidR="00CD1A0D" w:rsidRPr="006B306B">
        <w:rPr>
          <w:spacing w:val="-5"/>
        </w:rPr>
        <w:t xml:space="preserve"> </w:t>
      </w:r>
      <w:r w:rsidR="00CD1A0D">
        <w:rPr>
          <w:spacing w:val="-5"/>
        </w:rPr>
        <w:t>covering the general part</w:t>
      </w:r>
      <w:r w:rsidR="00CD1A0D">
        <w:rPr>
          <w:spacing w:val="-5"/>
        </w:rPr>
        <w:t xml:space="preserve"> together with the one dedicated to the material part in accordance with lecturer’s instructions on Blackboard.  </w:t>
      </w:r>
    </w:p>
    <w:p w14:paraId="01210109" w14:textId="77777777" w:rsidR="00CD1A0D" w:rsidRDefault="00CD1A0D">
      <w:pPr>
        <w:pStyle w:val="Testo1"/>
        <w:spacing w:line="240" w:lineRule="atLeast"/>
        <w:ind w:left="0" w:firstLine="284"/>
        <w:rPr>
          <w:spacing w:val="-5"/>
        </w:rPr>
      </w:pPr>
    </w:p>
    <w:p w14:paraId="16ABAC6A" w14:textId="19F7BACB" w:rsidR="00AA16D8" w:rsidRPr="006B306B" w:rsidRDefault="00446CE2">
      <w:pPr>
        <w:pStyle w:val="Testo1"/>
        <w:spacing w:line="240" w:lineRule="atLeast"/>
        <w:ind w:left="0" w:firstLine="284"/>
        <w:rPr>
          <w:noProof w:val="0"/>
          <w:szCs w:val="18"/>
        </w:rPr>
      </w:pPr>
      <w:r w:rsidRPr="006B306B">
        <w:rPr>
          <w:noProof w:val="0"/>
          <w:szCs w:val="18"/>
        </w:rPr>
        <w:t xml:space="preserve">For an adequate understanding of European </w:t>
      </w:r>
      <w:r w:rsidR="00CD1A0D" w:rsidRPr="006B306B">
        <w:rPr>
          <w:noProof w:val="0"/>
          <w:szCs w:val="18"/>
        </w:rPr>
        <w:t xml:space="preserve">Union </w:t>
      </w:r>
      <w:r w:rsidR="00CD1A0D">
        <w:rPr>
          <w:noProof w:val="0"/>
          <w:szCs w:val="18"/>
        </w:rPr>
        <w:t>l</w:t>
      </w:r>
      <w:r w:rsidR="00CD1A0D" w:rsidRPr="006B306B">
        <w:rPr>
          <w:noProof w:val="0"/>
          <w:szCs w:val="18"/>
        </w:rPr>
        <w:t>aw,</w:t>
      </w:r>
      <w:r w:rsidRPr="006B306B">
        <w:rPr>
          <w:noProof w:val="0"/>
          <w:szCs w:val="18"/>
        </w:rPr>
        <w:t xml:space="preserve"> it </w:t>
      </w:r>
      <w:r w:rsidR="00CD1A0D">
        <w:rPr>
          <w:noProof w:val="0"/>
          <w:szCs w:val="18"/>
        </w:rPr>
        <w:t>will be</w:t>
      </w:r>
      <w:r w:rsidRPr="006B306B">
        <w:rPr>
          <w:noProof w:val="0"/>
          <w:szCs w:val="18"/>
        </w:rPr>
        <w:t xml:space="preserve"> </w:t>
      </w:r>
      <w:r w:rsidRPr="006B306B">
        <w:rPr>
          <w:i/>
          <w:noProof w:val="0"/>
          <w:szCs w:val="18"/>
        </w:rPr>
        <w:t>necessary</w:t>
      </w:r>
      <w:r w:rsidRPr="006B306B">
        <w:rPr>
          <w:noProof w:val="0"/>
          <w:szCs w:val="18"/>
        </w:rPr>
        <w:t xml:space="preserve"> to consult </w:t>
      </w:r>
      <w:r w:rsidR="00CD1A0D">
        <w:rPr>
          <w:noProof w:val="0"/>
          <w:szCs w:val="18"/>
        </w:rPr>
        <w:t xml:space="preserve">EU </w:t>
      </w:r>
      <w:r w:rsidRPr="006B306B">
        <w:rPr>
          <w:noProof w:val="0"/>
          <w:szCs w:val="18"/>
        </w:rPr>
        <w:t xml:space="preserve">sources readily available online or collected in one of the codices available on the market, for example </w:t>
      </w:r>
      <w:r w:rsidRPr="006B306B">
        <w:rPr>
          <w:smallCaps/>
          <w:noProof w:val="0"/>
          <w:sz w:val="16"/>
          <w:szCs w:val="18"/>
        </w:rPr>
        <w:t xml:space="preserve">B. </w:t>
      </w:r>
      <w:proofErr w:type="spellStart"/>
      <w:r w:rsidRPr="006B306B">
        <w:rPr>
          <w:smallCaps/>
          <w:noProof w:val="0"/>
          <w:sz w:val="16"/>
          <w:szCs w:val="18"/>
        </w:rPr>
        <w:t>Nascimbene</w:t>
      </w:r>
      <w:proofErr w:type="spellEnd"/>
      <w:r w:rsidRPr="006B306B">
        <w:rPr>
          <w:smallCaps/>
          <w:noProof w:val="0"/>
          <w:szCs w:val="18"/>
        </w:rPr>
        <w:t xml:space="preserve">, </w:t>
      </w:r>
      <w:proofErr w:type="spellStart"/>
      <w:r w:rsidRPr="006B306B">
        <w:rPr>
          <w:i/>
          <w:noProof w:val="0"/>
          <w:szCs w:val="18"/>
        </w:rPr>
        <w:t>Unione</w:t>
      </w:r>
      <w:proofErr w:type="spellEnd"/>
      <w:r w:rsidRPr="006B306B">
        <w:rPr>
          <w:i/>
          <w:noProof w:val="0"/>
          <w:szCs w:val="18"/>
        </w:rPr>
        <w:t xml:space="preserve"> </w:t>
      </w:r>
      <w:proofErr w:type="spellStart"/>
      <w:r w:rsidRPr="006B306B">
        <w:rPr>
          <w:i/>
          <w:noProof w:val="0"/>
          <w:szCs w:val="18"/>
        </w:rPr>
        <w:t>europea</w:t>
      </w:r>
      <w:proofErr w:type="spellEnd"/>
      <w:r w:rsidRPr="006B306B">
        <w:rPr>
          <w:i/>
          <w:noProof w:val="0"/>
          <w:szCs w:val="18"/>
        </w:rPr>
        <w:t xml:space="preserve">. </w:t>
      </w:r>
      <w:proofErr w:type="spellStart"/>
      <w:r w:rsidRPr="006B306B">
        <w:rPr>
          <w:i/>
          <w:noProof w:val="0"/>
          <w:szCs w:val="18"/>
        </w:rPr>
        <w:t>Trattati</w:t>
      </w:r>
      <w:proofErr w:type="spellEnd"/>
      <w:r w:rsidRPr="006B306B">
        <w:rPr>
          <w:noProof w:val="0"/>
          <w:szCs w:val="18"/>
        </w:rPr>
        <w:t xml:space="preserve">, </w:t>
      </w:r>
      <w:proofErr w:type="spellStart"/>
      <w:r w:rsidRPr="006B306B">
        <w:rPr>
          <w:noProof w:val="0"/>
          <w:szCs w:val="18"/>
        </w:rPr>
        <w:t>Giappichelli</w:t>
      </w:r>
      <w:proofErr w:type="spellEnd"/>
      <w:r w:rsidRPr="006B306B">
        <w:rPr>
          <w:noProof w:val="0"/>
          <w:szCs w:val="18"/>
        </w:rPr>
        <w:t>, T</w:t>
      </w:r>
      <w:r w:rsidR="006716DD">
        <w:rPr>
          <w:noProof w:val="0"/>
          <w:szCs w:val="18"/>
        </w:rPr>
        <w:t>orino</w:t>
      </w:r>
      <w:r w:rsidRPr="006B306B">
        <w:rPr>
          <w:noProof w:val="0"/>
          <w:szCs w:val="18"/>
        </w:rPr>
        <w:t xml:space="preserve">, </w:t>
      </w:r>
      <w:r w:rsidR="008122BF">
        <w:rPr>
          <w:noProof w:val="0"/>
          <w:szCs w:val="18"/>
        </w:rPr>
        <w:t>latest ed</w:t>
      </w:r>
      <w:r w:rsidRPr="006B306B">
        <w:rPr>
          <w:noProof w:val="0"/>
          <w:szCs w:val="18"/>
        </w:rPr>
        <w:t xml:space="preserve">. </w:t>
      </w:r>
    </w:p>
    <w:p w14:paraId="60BF3D75" w14:textId="77777777" w:rsidR="008122BF" w:rsidRDefault="008122BF">
      <w:pPr>
        <w:spacing w:before="240" w:after="120" w:line="220" w:lineRule="exact"/>
        <w:rPr>
          <w:b/>
          <w:i/>
          <w:sz w:val="18"/>
          <w:szCs w:val="18"/>
        </w:rPr>
      </w:pPr>
    </w:p>
    <w:p w14:paraId="09A21408" w14:textId="77777777" w:rsidR="00D22349" w:rsidRDefault="00D22349">
      <w:pPr>
        <w:spacing w:before="240" w:after="120" w:line="220" w:lineRule="exact"/>
        <w:rPr>
          <w:b/>
          <w:i/>
          <w:sz w:val="18"/>
          <w:szCs w:val="18"/>
        </w:rPr>
      </w:pPr>
    </w:p>
    <w:p w14:paraId="22189CE2" w14:textId="77777777" w:rsidR="00D22349" w:rsidRDefault="00D22349">
      <w:pPr>
        <w:spacing w:before="240" w:after="120" w:line="220" w:lineRule="exact"/>
        <w:rPr>
          <w:b/>
          <w:i/>
          <w:sz w:val="18"/>
          <w:szCs w:val="18"/>
        </w:rPr>
      </w:pPr>
    </w:p>
    <w:p w14:paraId="530215BB" w14:textId="29E71B8C" w:rsidR="00AA16D8" w:rsidRPr="006B306B" w:rsidRDefault="00446CE2">
      <w:pPr>
        <w:spacing w:before="240" w:after="120" w:line="220" w:lineRule="exact"/>
        <w:rPr>
          <w:b/>
          <w:i/>
          <w:sz w:val="18"/>
          <w:szCs w:val="18"/>
        </w:rPr>
      </w:pPr>
      <w:r w:rsidRPr="006B306B">
        <w:rPr>
          <w:b/>
          <w:i/>
          <w:sz w:val="18"/>
          <w:szCs w:val="18"/>
        </w:rPr>
        <w:lastRenderedPageBreak/>
        <w:t>TEACHING METHOD</w:t>
      </w:r>
      <w:r w:rsidR="008122BF">
        <w:rPr>
          <w:b/>
          <w:i/>
          <w:sz w:val="18"/>
          <w:szCs w:val="18"/>
        </w:rPr>
        <w:t>OLOGY</w:t>
      </w:r>
    </w:p>
    <w:p w14:paraId="12087BC1" w14:textId="3C4F9C2D" w:rsidR="00AA16D8" w:rsidRPr="006B306B" w:rsidRDefault="00446CE2">
      <w:pPr>
        <w:pStyle w:val="Testo2"/>
        <w:rPr>
          <w:noProof w:val="0"/>
          <w:szCs w:val="18"/>
        </w:rPr>
      </w:pPr>
      <w:r w:rsidRPr="006B306B">
        <w:rPr>
          <w:noProof w:val="0"/>
          <w:szCs w:val="18"/>
        </w:rPr>
        <w:t xml:space="preserve">Traditional lectures will be supplemented with </w:t>
      </w:r>
      <w:r w:rsidR="008122BF">
        <w:rPr>
          <w:noProof w:val="0"/>
          <w:szCs w:val="18"/>
        </w:rPr>
        <w:t>analysis</w:t>
      </w:r>
      <w:r w:rsidRPr="006B306B">
        <w:rPr>
          <w:noProof w:val="0"/>
          <w:szCs w:val="18"/>
        </w:rPr>
        <w:t xml:space="preserve"> of materials in class, </w:t>
      </w:r>
      <w:proofErr w:type="gramStart"/>
      <w:r w:rsidR="008122BF">
        <w:rPr>
          <w:noProof w:val="0"/>
          <w:szCs w:val="18"/>
        </w:rPr>
        <w:t>in order to</w:t>
      </w:r>
      <w:proofErr w:type="gramEnd"/>
      <w:r w:rsidR="008122BF">
        <w:rPr>
          <w:noProof w:val="0"/>
          <w:szCs w:val="18"/>
        </w:rPr>
        <w:t xml:space="preserve"> </w:t>
      </w:r>
      <w:r w:rsidRPr="006B306B">
        <w:rPr>
          <w:noProof w:val="0"/>
          <w:szCs w:val="18"/>
        </w:rPr>
        <w:t>illustrat</w:t>
      </w:r>
      <w:r w:rsidR="008122BF">
        <w:rPr>
          <w:noProof w:val="0"/>
          <w:szCs w:val="18"/>
        </w:rPr>
        <w:t>e</w:t>
      </w:r>
      <w:r w:rsidRPr="006B306B">
        <w:rPr>
          <w:noProof w:val="0"/>
          <w:szCs w:val="18"/>
        </w:rPr>
        <w:t xml:space="preserve"> course contents and </w:t>
      </w:r>
      <w:r w:rsidR="008122BF">
        <w:rPr>
          <w:noProof w:val="0"/>
          <w:szCs w:val="18"/>
        </w:rPr>
        <w:t xml:space="preserve">engage </w:t>
      </w:r>
      <w:r w:rsidR="004F3011" w:rsidRPr="006B306B">
        <w:rPr>
          <w:noProof w:val="0"/>
          <w:szCs w:val="18"/>
        </w:rPr>
        <w:t>student</w:t>
      </w:r>
      <w:r w:rsidR="008122BF">
        <w:rPr>
          <w:noProof w:val="0"/>
          <w:szCs w:val="18"/>
        </w:rPr>
        <w:t>s in active</w:t>
      </w:r>
      <w:r w:rsidRPr="006B306B">
        <w:rPr>
          <w:noProof w:val="0"/>
          <w:szCs w:val="18"/>
        </w:rPr>
        <w:t xml:space="preserve"> participation. </w:t>
      </w:r>
      <w:r w:rsidR="008122BF">
        <w:rPr>
          <w:noProof w:val="0"/>
          <w:szCs w:val="18"/>
        </w:rPr>
        <w:t>Emphasis</w:t>
      </w:r>
      <w:r w:rsidRPr="006B306B">
        <w:rPr>
          <w:noProof w:val="0"/>
          <w:szCs w:val="18"/>
        </w:rPr>
        <w:t xml:space="preserve"> will also be on online search for sources.</w:t>
      </w:r>
    </w:p>
    <w:p w14:paraId="6A806644" w14:textId="77777777" w:rsidR="00730CF7" w:rsidRPr="006B306B" w:rsidRDefault="00730CF7" w:rsidP="00730CF7">
      <w:pPr>
        <w:tabs>
          <w:tab w:val="left" w:pos="284"/>
        </w:tabs>
        <w:spacing w:before="240" w:after="120" w:line="220" w:lineRule="exact"/>
        <w:rPr>
          <w:rFonts w:eastAsia="Times New Roman"/>
          <w:b/>
          <w:i/>
          <w:sz w:val="18"/>
          <w:lang w:val="en-US"/>
        </w:rPr>
      </w:pPr>
      <w:r w:rsidRPr="006B306B">
        <w:rPr>
          <w:rFonts w:eastAsia="Times New Roman"/>
          <w:b/>
          <w:i/>
          <w:sz w:val="18"/>
          <w:lang w:val="en-US"/>
        </w:rPr>
        <w:t>ASSESSMENT METHOD AND CRITERIA</w:t>
      </w:r>
    </w:p>
    <w:p w14:paraId="4945E08A" w14:textId="6200C508" w:rsidR="008122BF" w:rsidRPr="007048BE" w:rsidRDefault="002C7F52" w:rsidP="007048BE">
      <w:pPr>
        <w:pStyle w:val="Testo2"/>
        <w:rPr>
          <w:szCs w:val="18"/>
        </w:rPr>
      </w:pPr>
      <w:r w:rsidRPr="002C7F52">
        <w:rPr>
          <w:szCs w:val="18"/>
        </w:rPr>
        <w:t xml:space="preserve">Oral examination on the basis of the above programme, </w:t>
      </w:r>
      <w:r>
        <w:rPr>
          <w:szCs w:val="18"/>
        </w:rPr>
        <w:t>taking into account</w:t>
      </w:r>
      <w:r w:rsidRPr="002C7F52">
        <w:rPr>
          <w:szCs w:val="18"/>
        </w:rPr>
        <w:t xml:space="preserve"> diff</w:t>
      </w:r>
      <w:r>
        <w:rPr>
          <w:szCs w:val="18"/>
        </w:rPr>
        <w:t>erences between attending and non-attending students</w:t>
      </w:r>
      <w:r w:rsidRPr="002C7F52">
        <w:rPr>
          <w:szCs w:val="18"/>
        </w:rPr>
        <w:t xml:space="preserve">. </w:t>
      </w:r>
      <w:r w:rsidRPr="007048BE">
        <w:rPr>
          <w:szCs w:val="18"/>
        </w:rPr>
        <w:t>Attending students will be allowed to split their exam into two</w:t>
      </w:r>
      <w:r w:rsidR="007048BE" w:rsidRPr="007048BE">
        <w:rPr>
          <w:szCs w:val="18"/>
        </w:rPr>
        <w:t xml:space="preserve"> parts, </w:t>
      </w:r>
      <w:r w:rsidRPr="007048BE">
        <w:rPr>
          <w:szCs w:val="18"/>
        </w:rPr>
        <w:t xml:space="preserve"> </w:t>
      </w:r>
      <w:r w:rsidR="007048BE" w:rsidRPr="007048BE">
        <w:rPr>
          <w:szCs w:val="18"/>
        </w:rPr>
        <w:t>i</w:t>
      </w:r>
      <w:r w:rsidR="007048BE">
        <w:rPr>
          <w:szCs w:val="18"/>
        </w:rPr>
        <w:t>n accordance with arrangements made with the lecturer at the beginning of the course.</w:t>
      </w:r>
    </w:p>
    <w:p w14:paraId="632B71E1" w14:textId="4B61141D" w:rsidR="00AA16D8" w:rsidRPr="006B306B" w:rsidRDefault="007048BE">
      <w:pPr>
        <w:pStyle w:val="Testo2"/>
        <w:rPr>
          <w:noProof w:val="0"/>
          <w:szCs w:val="18"/>
        </w:rPr>
      </w:pPr>
      <w:r>
        <w:rPr>
          <w:noProof w:val="0"/>
          <w:szCs w:val="18"/>
        </w:rPr>
        <w:t>Marks</w:t>
      </w:r>
      <w:r w:rsidR="00446CE2" w:rsidRPr="006B306B">
        <w:rPr>
          <w:noProof w:val="0"/>
          <w:szCs w:val="18"/>
        </w:rPr>
        <w:t xml:space="preserve"> will be out of thirty and will </w:t>
      </w:r>
      <w:proofErr w:type="gramStart"/>
      <w:r w:rsidR="00446CE2" w:rsidRPr="006B306B">
        <w:rPr>
          <w:noProof w:val="0"/>
          <w:szCs w:val="18"/>
        </w:rPr>
        <w:t>take into account</w:t>
      </w:r>
      <w:proofErr w:type="gramEnd"/>
      <w:r>
        <w:rPr>
          <w:noProof w:val="0"/>
          <w:szCs w:val="18"/>
        </w:rPr>
        <w:t xml:space="preserve"> relevance of students’ answers, their</w:t>
      </w:r>
      <w:r w:rsidR="00446CE2" w:rsidRPr="006B306B">
        <w:rPr>
          <w:noProof w:val="0"/>
          <w:szCs w:val="18"/>
        </w:rPr>
        <w:t xml:space="preserve"> knowledge of topics, critical understanding of the issues dealt with, presentation skills and </w:t>
      </w:r>
      <w:r>
        <w:rPr>
          <w:noProof w:val="0"/>
          <w:szCs w:val="18"/>
        </w:rPr>
        <w:t xml:space="preserve">their </w:t>
      </w:r>
      <w:r w:rsidR="00446CE2" w:rsidRPr="006B306B">
        <w:rPr>
          <w:noProof w:val="0"/>
          <w:szCs w:val="18"/>
        </w:rPr>
        <w:t>use of appropriate legal language.</w:t>
      </w:r>
    </w:p>
    <w:p w14:paraId="14BCBCA0" w14:textId="77777777" w:rsidR="00AA16D8" w:rsidRPr="006B306B" w:rsidRDefault="00730CF7" w:rsidP="00730CF7">
      <w:pPr>
        <w:tabs>
          <w:tab w:val="left" w:pos="284"/>
        </w:tabs>
        <w:spacing w:before="240" w:after="120"/>
        <w:rPr>
          <w:rFonts w:eastAsia="Times New Roman"/>
          <w:b/>
          <w:i/>
          <w:sz w:val="18"/>
          <w:lang w:val="en-US"/>
        </w:rPr>
      </w:pPr>
      <w:r w:rsidRPr="006B306B">
        <w:rPr>
          <w:rFonts w:eastAsia="Times New Roman"/>
          <w:b/>
          <w:i/>
          <w:sz w:val="18"/>
          <w:lang w:val="en-US"/>
        </w:rPr>
        <w:t>NOTES AND PREREQUISITES</w:t>
      </w:r>
    </w:p>
    <w:p w14:paraId="4FB8313B" w14:textId="0BB21692" w:rsidR="00D35E01" w:rsidRPr="006716DD" w:rsidRDefault="007048BE" w:rsidP="001122FC">
      <w:pPr>
        <w:spacing w:before="240" w:after="120" w:line="220" w:lineRule="exact"/>
        <w:ind w:firstLine="284"/>
        <w:rPr>
          <w:bCs/>
          <w:iCs/>
          <w:sz w:val="18"/>
          <w:szCs w:val="18"/>
        </w:rPr>
      </w:pPr>
      <w:r w:rsidRPr="006716DD">
        <w:rPr>
          <w:bCs/>
          <w:iCs/>
          <w:sz w:val="18"/>
          <w:szCs w:val="18"/>
          <w:lang w:val="en-US"/>
        </w:rPr>
        <w:t>Sound</w:t>
      </w:r>
      <w:r w:rsidRPr="006716DD">
        <w:rPr>
          <w:bCs/>
          <w:iCs/>
          <w:sz w:val="18"/>
          <w:szCs w:val="18"/>
        </w:rPr>
        <w:t xml:space="preserve"> knowledge of fundamental principles and sources of the Italian legal </w:t>
      </w:r>
      <w:r w:rsidRPr="006716DD">
        <w:rPr>
          <w:bCs/>
          <w:iCs/>
          <w:sz w:val="18"/>
          <w:szCs w:val="18"/>
        </w:rPr>
        <w:t>order</w:t>
      </w:r>
      <w:r w:rsidRPr="006716DD">
        <w:rPr>
          <w:bCs/>
          <w:iCs/>
          <w:sz w:val="18"/>
          <w:szCs w:val="18"/>
        </w:rPr>
        <w:t xml:space="preserve">, </w:t>
      </w:r>
      <w:r w:rsidR="001122FC" w:rsidRPr="006716DD">
        <w:rPr>
          <w:bCs/>
          <w:iCs/>
          <w:sz w:val="18"/>
          <w:szCs w:val="18"/>
        </w:rPr>
        <w:t>like</w:t>
      </w:r>
      <w:r w:rsidRPr="006716DD">
        <w:rPr>
          <w:bCs/>
          <w:iCs/>
          <w:sz w:val="18"/>
          <w:szCs w:val="18"/>
        </w:rPr>
        <w:t xml:space="preserve"> that acquired through the previous study of Constitutional Law, is required </w:t>
      </w:r>
      <w:r w:rsidRPr="006716DD">
        <w:rPr>
          <w:bCs/>
          <w:iCs/>
          <w:sz w:val="18"/>
          <w:szCs w:val="18"/>
        </w:rPr>
        <w:t xml:space="preserve">for </w:t>
      </w:r>
      <w:r w:rsidRPr="006716DD">
        <w:rPr>
          <w:bCs/>
          <w:iCs/>
          <w:sz w:val="18"/>
          <w:szCs w:val="18"/>
        </w:rPr>
        <w:t>course</w:t>
      </w:r>
      <w:r w:rsidRPr="006716DD">
        <w:rPr>
          <w:bCs/>
          <w:iCs/>
          <w:sz w:val="18"/>
          <w:szCs w:val="18"/>
        </w:rPr>
        <w:t xml:space="preserve"> attendance</w:t>
      </w:r>
      <w:r w:rsidRPr="006716DD">
        <w:rPr>
          <w:bCs/>
          <w:iCs/>
          <w:sz w:val="18"/>
          <w:szCs w:val="18"/>
        </w:rPr>
        <w:t xml:space="preserve"> and examination. </w:t>
      </w:r>
    </w:p>
    <w:p w14:paraId="59364180" w14:textId="77777777" w:rsidR="00030FE5" w:rsidRPr="006B306B" w:rsidRDefault="00030FE5" w:rsidP="00446CE2">
      <w:pPr>
        <w:pStyle w:val="Testo2"/>
        <w:rPr>
          <w:noProof w:val="0"/>
          <w:szCs w:val="18"/>
        </w:rPr>
      </w:pPr>
    </w:p>
    <w:p w14:paraId="117BC2A4" w14:textId="77777777" w:rsidR="00030FE5" w:rsidRPr="008E25E3" w:rsidRDefault="00030FE5" w:rsidP="00030FE5">
      <w:pPr>
        <w:pStyle w:val="Testo2"/>
        <w:rPr>
          <w:noProof w:val="0"/>
          <w:szCs w:val="18"/>
        </w:rPr>
      </w:pPr>
      <w:r w:rsidRPr="006B306B">
        <w:rPr>
          <w:noProof w:val="0"/>
          <w:szCs w:val="18"/>
        </w:rPr>
        <w:t xml:space="preserve">Further information can be found on the lecturer's webpage at http://docenti.unicatt.it/web/searchByName.do?language=ENG or on the </w:t>
      </w:r>
      <w:proofErr w:type="gramStart"/>
      <w:r w:rsidRPr="006B306B">
        <w:rPr>
          <w:noProof w:val="0"/>
          <w:szCs w:val="18"/>
        </w:rPr>
        <w:t>Faculty</w:t>
      </w:r>
      <w:proofErr w:type="gramEnd"/>
      <w:r w:rsidRPr="006B306B">
        <w:rPr>
          <w:noProof w:val="0"/>
          <w:szCs w:val="18"/>
        </w:rPr>
        <w:t xml:space="preserve"> notice board.</w:t>
      </w:r>
    </w:p>
    <w:p w14:paraId="53E6B9B6" w14:textId="77777777" w:rsidR="00446CE2" w:rsidRPr="00030FE5" w:rsidRDefault="00446CE2" w:rsidP="00030FE5">
      <w:pPr>
        <w:pStyle w:val="Testo2"/>
        <w:spacing w:before="120"/>
        <w:ind w:firstLine="0"/>
        <w:rPr>
          <w:noProof w:val="0"/>
          <w:sz w:val="20"/>
          <w:szCs w:val="18"/>
        </w:rPr>
      </w:pPr>
    </w:p>
    <w:p w14:paraId="556F546E" w14:textId="77777777" w:rsidR="00AA16D8" w:rsidRPr="004F3011" w:rsidRDefault="00AA16D8">
      <w:pPr>
        <w:rPr>
          <w:sz w:val="18"/>
          <w:szCs w:val="18"/>
        </w:rPr>
      </w:pPr>
    </w:p>
    <w:sectPr w:rsidR="00AA16D8" w:rsidRPr="004F3011" w:rsidSect="00E155B5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B6617"/>
    <w:multiLevelType w:val="hybridMultilevel"/>
    <w:tmpl w:val="3E40911C"/>
    <w:lvl w:ilvl="0" w:tplc="28CA3E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A963F3"/>
    <w:multiLevelType w:val="hybridMultilevel"/>
    <w:tmpl w:val="36640964"/>
    <w:lvl w:ilvl="0" w:tplc="28268B8C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96168676">
    <w:abstractNumId w:val="0"/>
  </w:num>
  <w:num w:numId="2" w16cid:durableId="5673484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6A0"/>
    <w:rsid w:val="00014D43"/>
    <w:rsid w:val="000261CC"/>
    <w:rsid w:val="00030FE5"/>
    <w:rsid w:val="00036D78"/>
    <w:rsid w:val="00054B9E"/>
    <w:rsid w:val="000838D0"/>
    <w:rsid w:val="00096869"/>
    <w:rsid w:val="000B4F75"/>
    <w:rsid w:val="000B78D0"/>
    <w:rsid w:val="000F4C4A"/>
    <w:rsid w:val="00107EF7"/>
    <w:rsid w:val="001122FC"/>
    <w:rsid w:val="001C4191"/>
    <w:rsid w:val="001F6BB9"/>
    <w:rsid w:val="002162A1"/>
    <w:rsid w:val="002473DE"/>
    <w:rsid w:val="00292184"/>
    <w:rsid w:val="00296EB1"/>
    <w:rsid w:val="002C7F52"/>
    <w:rsid w:val="002E3E99"/>
    <w:rsid w:val="002F5BCB"/>
    <w:rsid w:val="0031046C"/>
    <w:rsid w:val="00312DF4"/>
    <w:rsid w:val="003850B6"/>
    <w:rsid w:val="00446CE2"/>
    <w:rsid w:val="00487414"/>
    <w:rsid w:val="004D05F7"/>
    <w:rsid w:val="004F3011"/>
    <w:rsid w:val="00551B14"/>
    <w:rsid w:val="005A5DBB"/>
    <w:rsid w:val="00635546"/>
    <w:rsid w:val="00647338"/>
    <w:rsid w:val="00655BC5"/>
    <w:rsid w:val="00665159"/>
    <w:rsid w:val="006716DD"/>
    <w:rsid w:val="00685B73"/>
    <w:rsid w:val="00686EE6"/>
    <w:rsid w:val="00687C17"/>
    <w:rsid w:val="006B306B"/>
    <w:rsid w:val="006C3575"/>
    <w:rsid w:val="006E3BFE"/>
    <w:rsid w:val="006F25DF"/>
    <w:rsid w:val="007048BE"/>
    <w:rsid w:val="00720BFD"/>
    <w:rsid w:val="00730CF7"/>
    <w:rsid w:val="00753725"/>
    <w:rsid w:val="00780E5D"/>
    <w:rsid w:val="00781A5A"/>
    <w:rsid w:val="007C1112"/>
    <w:rsid w:val="007E26A0"/>
    <w:rsid w:val="007F7806"/>
    <w:rsid w:val="008122BF"/>
    <w:rsid w:val="00825E20"/>
    <w:rsid w:val="00826841"/>
    <w:rsid w:val="008337AE"/>
    <w:rsid w:val="008E25E3"/>
    <w:rsid w:val="008F00C0"/>
    <w:rsid w:val="00925B32"/>
    <w:rsid w:val="00947A26"/>
    <w:rsid w:val="00951017"/>
    <w:rsid w:val="009734DD"/>
    <w:rsid w:val="00993B66"/>
    <w:rsid w:val="009C66BE"/>
    <w:rsid w:val="009D2F11"/>
    <w:rsid w:val="009E61BE"/>
    <w:rsid w:val="009F414B"/>
    <w:rsid w:val="00A341DF"/>
    <w:rsid w:val="00A52E14"/>
    <w:rsid w:val="00A56266"/>
    <w:rsid w:val="00A97B09"/>
    <w:rsid w:val="00AA16D8"/>
    <w:rsid w:val="00B00569"/>
    <w:rsid w:val="00BF6E89"/>
    <w:rsid w:val="00C25607"/>
    <w:rsid w:val="00CD1A0D"/>
    <w:rsid w:val="00CE0B70"/>
    <w:rsid w:val="00CF1252"/>
    <w:rsid w:val="00D134F6"/>
    <w:rsid w:val="00D1719A"/>
    <w:rsid w:val="00D22349"/>
    <w:rsid w:val="00D35E01"/>
    <w:rsid w:val="00D7539A"/>
    <w:rsid w:val="00DE0A6B"/>
    <w:rsid w:val="00E04C41"/>
    <w:rsid w:val="00E155B5"/>
    <w:rsid w:val="00E165BE"/>
    <w:rsid w:val="00E61146"/>
    <w:rsid w:val="00E818F2"/>
    <w:rsid w:val="00E9759F"/>
    <w:rsid w:val="00EA5DA3"/>
    <w:rsid w:val="00ED12C9"/>
    <w:rsid w:val="00ED3AD1"/>
    <w:rsid w:val="00F0542A"/>
    <w:rsid w:val="00FB479A"/>
    <w:rsid w:val="00FB7B8B"/>
    <w:rsid w:val="00FC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D53D01"/>
  <w15:docId w15:val="{5E48E4B5-F048-492B-A30B-F26D055BE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162A1"/>
    <w:pPr>
      <w:spacing w:after="0" w:line="240" w:lineRule="exact"/>
      <w:jc w:val="both"/>
    </w:pPr>
    <w:rPr>
      <w:rFonts w:ascii="Times New Roman" w:eastAsia="MS Mincho" w:hAnsi="Times New Roman" w:cs="Times New Roman"/>
      <w:sz w:val="20"/>
      <w:szCs w:val="24"/>
      <w:lang w:eastAsia="it-IT"/>
    </w:rPr>
  </w:style>
  <w:style w:type="paragraph" w:styleId="Titolo1">
    <w:name w:val="heading 1"/>
    <w:next w:val="Titolo2"/>
    <w:link w:val="Titolo1Carattere"/>
    <w:qFormat/>
    <w:rsid w:val="002162A1"/>
    <w:pPr>
      <w:spacing w:before="480" w:after="0" w:line="240" w:lineRule="exact"/>
      <w:ind w:left="284" w:hanging="284"/>
      <w:outlineLvl w:val="0"/>
    </w:pPr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Titolo2">
    <w:name w:val="heading 2"/>
    <w:next w:val="Titolo3"/>
    <w:link w:val="Titolo2Carattere"/>
    <w:qFormat/>
    <w:rsid w:val="002162A1"/>
    <w:pPr>
      <w:spacing w:after="0" w:line="240" w:lineRule="exact"/>
      <w:outlineLvl w:val="1"/>
    </w:pPr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162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162A1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2162A1"/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customStyle="1" w:styleId="Testo1">
    <w:name w:val="Testo 1"/>
    <w:rsid w:val="002162A1"/>
    <w:pPr>
      <w:spacing w:after="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customStyle="1" w:styleId="Testo2">
    <w:name w:val="Testo 2"/>
    <w:uiPriority w:val="99"/>
    <w:rsid w:val="002162A1"/>
    <w:pPr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162A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838D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D3AD1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D3AD1"/>
    <w:rPr>
      <w:color w:val="808080"/>
      <w:shd w:val="clear" w:color="auto" w:fill="E6E6E6"/>
    </w:rPr>
  </w:style>
  <w:style w:type="character" w:styleId="Rimandocommento">
    <w:name w:val="annotation reference"/>
    <w:basedOn w:val="Carpredefinitoparagrafo"/>
    <w:uiPriority w:val="99"/>
    <w:semiHidden/>
    <w:unhideWhenUsed/>
    <w:rsid w:val="002E3E9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E3E99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E3E99"/>
    <w:rPr>
      <w:rFonts w:ascii="Times New Roman" w:eastAsia="MS Mincho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E3E9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E3E99"/>
    <w:rPr>
      <w:rFonts w:ascii="Times New Roman" w:eastAsia="MS Mincho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3E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3E99"/>
    <w:rPr>
      <w:rFonts w:ascii="Segoe UI" w:eastAsia="MS Mincho" w:hAnsi="Segoe UI" w:cs="Segoe UI"/>
      <w:sz w:val="18"/>
      <w:szCs w:val="18"/>
      <w:lang w:eastAsia="it-IT"/>
    </w:rPr>
  </w:style>
  <w:style w:type="paragraph" w:customStyle="1" w:styleId="CorpoA">
    <w:name w:val="Corpo A"/>
    <w:rsid w:val="004D05F7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84"/>
      </w:tabs>
      <w:spacing w:after="0" w:line="240" w:lineRule="exact"/>
      <w:jc w:val="both"/>
    </w:pPr>
    <w:rPr>
      <w:rFonts w:ascii="Times" w:eastAsia="Arial Unicode MS" w:hAnsi="Times" w:cs="Arial Unicode MS"/>
      <w:color w:val="000000"/>
      <w:sz w:val="20"/>
      <w:szCs w:val="20"/>
      <w:u w:color="000000"/>
      <w:bdr w:val="nil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ugo-draetta-francesco-bestagno-andrea-santini/elementi-di-diritto-dellunione-europea-parte-istituzionale-ordinamento-e-struttura-dellunione-europea-9788828805007-552849.html?search_string=draetta%20Elementi%20di%20diritto%20dell%E2%80%99Unione%20Europea&amp;search_results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rerie.unicatt.it/scheda-libro/ugo-draetta-francesco-bestagno-andrea-santini/elementi-di-diritto-dellunione-europea-parte-istituzionale-ordinamento-e-struttura-dellunione-europea-9788828805007-552849.html?search_string=draetta%20Elementi%20di%20diritto%20dell%E2%80%99Unione%20Europea&amp;search_results=1" TargetMode="External"/><Relationship Id="rId5" Type="http://schemas.openxmlformats.org/officeDocument/2006/relationships/hyperlink" Target="https://librerie.unicatt.it/scheda-libro/ugo-draetta-francesco-bestagno-andrea-santini/elementi-di-diritto-dellunione-europea-parte-istituzionale-ordinamento-e-struttura-dellunione-europea-9788828805007-552849.html?search_string=draetta%20Elementi%20di%20diritto%20dell%E2%80%99Unione%20Europea&amp;search_results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3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Marenghi</dc:creator>
  <cp:keywords/>
  <dc:description/>
  <cp:lastModifiedBy>Marenghi Chiara (chiara.marenghi)</cp:lastModifiedBy>
  <cp:revision>6</cp:revision>
  <cp:lastPrinted>2022-09-01T14:02:00Z</cp:lastPrinted>
  <dcterms:created xsi:type="dcterms:W3CDTF">2022-08-31T09:24:00Z</dcterms:created>
  <dcterms:modified xsi:type="dcterms:W3CDTF">2022-09-01T19:18:00Z</dcterms:modified>
</cp:coreProperties>
</file>