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369BE" w14:textId="1AFE12FF" w:rsidR="007F4F5A" w:rsidRPr="005064EE" w:rsidRDefault="007F4F5A" w:rsidP="007F4F5A">
      <w:pPr>
        <w:pStyle w:val="Titolo1"/>
        <w:rPr>
          <w:noProof w:val="0"/>
          <w:lang w:val="en-GB"/>
        </w:rPr>
      </w:pPr>
      <w:r w:rsidRPr="005064EE">
        <w:rPr>
          <w:noProof w:val="0"/>
          <w:lang w:val="en-GB"/>
        </w:rPr>
        <w:t>Accounting and Financial Reporting</w:t>
      </w:r>
    </w:p>
    <w:p w14:paraId="6442850A" w14:textId="51FE9CBA" w:rsidR="00F95A41" w:rsidRPr="00841BC1" w:rsidRDefault="00256640" w:rsidP="00F95A41">
      <w:pPr>
        <w:pStyle w:val="Titolo2"/>
        <w:rPr>
          <w:lang w:val="en-GB"/>
        </w:rPr>
      </w:pPr>
      <w:r>
        <w:rPr>
          <w:lang w:val="en-GB"/>
        </w:rPr>
        <w:t>Pro</w:t>
      </w:r>
      <w:r w:rsidR="00882250" w:rsidRPr="00841BC1">
        <w:rPr>
          <w:lang w:val="en-GB"/>
        </w:rPr>
        <w:t>f</w:t>
      </w:r>
      <w:r w:rsidR="00962CE0" w:rsidRPr="00841BC1">
        <w:rPr>
          <w:lang w:val="en-GB"/>
        </w:rPr>
        <w:t>. Anna Maria Fellegara</w:t>
      </w:r>
    </w:p>
    <w:p w14:paraId="3EB80426" w14:textId="77777777" w:rsidR="00F95A41" w:rsidRPr="00841BC1" w:rsidRDefault="00F95A41" w:rsidP="00F95A41">
      <w:pPr>
        <w:rPr>
          <w:b/>
          <w:i/>
          <w:sz w:val="18"/>
          <w:szCs w:val="18"/>
          <w:lang w:val="en-GB"/>
        </w:rPr>
      </w:pPr>
    </w:p>
    <w:p w14:paraId="33F5EBD8" w14:textId="60284367" w:rsidR="00962CE0" w:rsidRPr="00841BC1" w:rsidRDefault="00F95A41" w:rsidP="00962CE0">
      <w:pPr>
        <w:spacing w:before="240" w:after="120"/>
        <w:rPr>
          <w:b/>
          <w:sz w:val="18"/>
          <w:lang w:val="en-GB"/>
        </w:rPr>
      </w:pPr>
      <w:r w:rsidRPr="00841BC1">
        <w:rPr>
          <w:b/>
          <w:i/>
          <w:sz w:val="18"/>
          <w:lang w:val="en-GB"/>
        </w:rPr>
        <w:t>COURSE AIMS AND INTENDED LEARNING OUTCOMES</w:t>
      </w:r>
    </w:p>
    <w:p w14:paraId="7C658C24" w14:textId="5CE41C0C" w:rsidR="00962CE0" w:rsidRPr="00841BC1" w:rsidRDefault="00F95A41" w:rsidP="00CB17D9">
      <w:pPr>
        <w:rPr>
          <w:lang w:val="en-GB"/>
        </w:rPr>
      </w:pPr>
      <w:r w:rsidRPr="00841BC1">
        <w:rPr>
          <w:lang w:val="en-GB"/>
        </w:rPr>
        <w:t xml:space="preserve">The course aims to </w:t>
      </w:r>
      <w:r w:rsidR="00DD5963" w:rsidRPr="00841BC1">
        <w:rPr>
          <w:lang w:val="en-GB"/>
        </w:rPr>
        <w:t>introduce</w:t>
      </w:r>
      <w:r w:rsidRPr="00841BC1">
        <w:rPr>
          <w:lang w:val="en-GB"/>
        </w:rPr>
        <w:t xml:space="preserve"> first</w:t>
      </w:r>
      <w:r w:rsidR="002222CE" w:rsidRPr="00841BC1">
        <w:rPr>
          <w:lang w:val="en-GB"/>
        </w:rPr>
        <w:t>-</w:t>
      </w:r>
      <w:r w:rsidRPr="00841BC1">
        <w:rPr>
          <w:lang w:val="en-GB"/>
        </w:rPr>
        <w:t>year student</w:t>
      </w:r>
      <w:r w:rsidR="00DD5963" w:rsidRPr="00841BC1">
        <w:rPr>
          <w:lang w:val="en-GB"/>
        </w:rPr>
        <w:t>s</w:t>
      </w:r>
      <w:r w:rsidRPr="00841BC1">
        <w:rPr>
          <w:lang w:val="en-GB"/>
        </w:rPr>
        <w:t xml:space="preserve"> to the </w:t>
      </w:r>
      <w:r w:rsidR="00DD5963" w:rsidRPr="00841BC1">
        <w:rPr>
          <w:lang w:val="en-GB"/>
        </w:rPr>
        <w:t>financial statements</w:t>
      </w:r>
      <w:r w:rsidRPr="00841BC1">
        <w:rPr>
          <w:lang w:val="en-GB"/>
        </w:rPr>
        <w:t xml:space="preserve"> of </w:t>
      </w:r>
      <w:r w:rsidR="00DD5963" w:rsidRPr="00841BC1">
        <w:rPr>
          <w:lang w:val="en-GB"/>
        </w:rPr>
        <w:t xml:space="preserve">operating </w:t>
      </w:r>
      <w:r w:rsidRPr="00841BC1">
        <w:rPr>
          <w:lang w:val="en-GB"/>
        </w:rPr>
        <w:t>business</w:t>
      </w:r>
      <w:r w:rsidR="00DD5963" w:rsidRPr="00841BC1">
        <w:rPr>
          <w:lang w:val="en-GB"/>
        </w:rPr>
        <w:t>es</w:t>
      </w:r>
      <w:r w:rsidRPr="00841BC1">
        <w:rPr>
          <w:lang w:val="en-GB"/>
        </w:rPr>
        <w:t>. After develop</w:t>
      </w:r>
      <w:r w:rsidR="00DD5963" w:rsidRPr="00841BC1">
        <w:rPr>
          <w:lang w:val="en-GB"/>
        </w:rPr>
        <w:t>ing</w:t>
      </w:r>
      <w:r w:rsidRPr="00841BC1">
        <w:rPr>
          <w:lang w:val="en-GB"/>
        </w:rPr>
        <w:t xml:space="preserve"> the methods relating to the operation of the general accounting system, the </w:t>
      </w:r>
      <w:r w:rsidR="00DD5963" w:rsidRPr="00841BC1">
        <w:rPr>
          <w:lang w:val="en-GB"/>
        </w:rPr>
        <w:t xml:space="preserve">course will focus on the </w:t>
      </w:r>
      <w:r w:rsidRPr="00841BC1">
        <w:rPr>
          <w:lang w:val="en-GB"/>
        </w:rPr>
        <w:t xml:space="preserve">structural and content characteristics of the company financial statements. The </w:t>
      </w:r>
      <w:r w:rsidR="006A73F2" w:rsidRPr="00841BC1">
        <w:rPr>
          <w:lang w:val="en-GB"/>
        </w:rPr>
        <w:t>main</w:t>
      </w:r>
      <w:r w:rsidRPr="00841BC1">
        <w:rPr>
          <w:lang w:val="en-GB"/>
        </w:rPr>
        <w:t xml:space="preserve"> purpose is to introduce students to the logic underlying the processes of determining and communicating the company's economic and financial results. Starting from the accounting language, the course examines the issues of determining the operating income and the related working capital. </w:t>
      </w:r>
      <w:r w:rsidR="001840EA" w:rsidRPr="00841BC1">
        <w:rPr>
          <w:lang w:val="en-GB"/>
        </w:rPr>
        <w:t>The values originating from the exchange must be recogni</w:t>
      </w:r>
      <w:r w:rsidR="006A73F2" w:rsidRPr="00841BC1">
        <w:rPr>
          <w:lang w:val="en-GB"/>
        </w:rPr>
        <w:t>s</w:t>
      </w:r>
      <w:r w:rsidR="001840EA" w:rsidRPr="00841BC1">
        <w:rPr>
          <w:lang w:val="en-GB"/>
        </w:rPr>
        <w:t>ed, classified</w:t>
      </w:r>
      <w:r w:rsidR="006A73F2" w:rsidRPr="00841BC1">
        <w:rPr>
          <w:lang w:val="en-GB"/>
        </w:rPr>
        <w:t>,</w:t>
      </w:r>
      <w:r w:rsidR="001840EA" w:rsidRPr="00841BC1">
        <w:rPr>
          <w:lang w:val="en-GB"/>
        </w:rPr>
        <w:t xml:space="preserve"> and recorded to allow the </w:t>
      </w:r>
      <w:r w:rsidR="006A73F2" w:rsidRPr="00841BC1">
        <w:rPr>
          <w:lang w:val="en-GB"/>
        </w:rPr>
        <w:t>creation</w:t>
      </w:r>
      <w:r w:rsidR="001840EA" w:rsidRPr="00841BC1">
        <w:rPr>
          <w:lang w:val="en-GB"/>
        </w:rPr>
        <w:t xml:space="preserve"> of periodic summaries on the consistency and composition of the working capital and the economic result achieved. The assessments of the income and capital components, in </w:t>
      </w:r>
      <w:r w:rsidR="000D08A9">
        <w:rPr>
          <w:lang w:val="en-GB"/>
        </w:rPr>
        <w:t>a</w:t>
      </w:r>
      <w:r w:rsidR="001840EA" w:rsidRPr="00841BC1">
        <w:rPr>
          <w:lang w:val="en-GB"/>
        </w:rPr>
        <w:t xml:space="preserve"> perspective of reporting to stakeholders, complete the theoretical framework on the financial statements</w:t>
      </w:r>
      <w:r w:rsidR="00962CE0" w:rsidRPr="00841BC1">
        <w:rPr>
          <w:lang w:val="en-GB"/>
        </w:rPr>
        <w:t xml:space="preserve">. </w:t>
      </w:r>
    </w:p>
    <w:p w14:paraId="266A99A8" w14:textId="51DA7807" w:rsidR="002849E1" w:rsidRPr="00841BC1" w:rsidRDefault="002849E1" w:rsidP="00CB17D9">
      <w:pPr>
        <w:rPr>
          <w:lang w:val="en-GB"/>
        </w:rPr>
      </w:pPr>
      <w:r w:rsidRPr="00841BC1">
        <w:rPr>
          <w:lang w:val="en-GB"/>
        </w:rPr>
        <w:t>A</w:t>
      </w:r>
      <w:r w:rsidR="001840EA" w:rsidRPr="00841BC1">
        <w:rPr>
          <w:lang w:val="en-GB"/>
        </w:rPr>
        <w:t>t the end of the course, students will be able to</w:t>
      </w:r>
      <w:r w:rsidRPr="00841BC1">
        <w:rPr>
          <w:lang w:val="en-GB"/>
        </w:rPr>
        <w:t>:</w:t>
      </w:r>
    </w:p>
    <w:p w14:paraId="5EBE36A4" w14:textId="77777777" w:rsidR="00962CE0" w:rsidRPr="00841BC1" w:rsidRDefault="00962CE0" w:rsidP="00962CE0">
      <w:pPr>
        <w:rPr>
          <w:lang w:val="en-GB"/>
        </w:rPr>
      </w:pPr>
    </w:p>
    <w:p w14:paraId="211419CE" w14:textId="47D0153E" w:rsidR="00962CE0" w:rsidRPr="00841BC1" w:rsidRDefault="001840EA" w:rsidP="00962CE0">
      <w:pPr>
        <w:numPr>
          <w:ilvl w:val="0"/>
          <w:numId w:val="1"/>
        </w:numPr>
        <w:tabs>
          <w:tab w:val="clear" w:pos="284"/>
          <w:tab w:val="left" w:pos="142"/>
        </w:tabs>
        <w:ind w:left="142" w:hanging="142"/>
        <w:rPr>
          <w:lang w:val="en-GB"/>
        </w:rPr>
      </w:pPr>
      <w:r w:rsidRPr="00841BC1">
        <w:rPr>
          <w:lang w:val="en-GB"/>
        </w:rPr>
        <w:t>know the valuation criteria defined by the national accounting standards and some criteria contained in the international accounting standards IAS/IFRS</w:t>
      </w:r>
      <w:r w:rsidR="00B716E7" w:rsidRPr="00841BC1">
        <w:rPr>
          <w:lang w:val="en-GB"/>
        </w:rPr>
        <w:t>;</w:t>
      </w:r>
    </w:p>
    <w:p w14:paraId="1B2EAF1B" w14:textId="69978025" w:rsidR="00962CE0" w:rsidRPr="00841BC1" w:rsidRDefault="001840EA" w:rsidP="00962CE0">
      <w:pPr>
        <w:numPr>
          <w:ilvl w:val="0"/>
          <w:numId w:val="1"/>
        </w:numPr>
        <w:tabs>
          <w:tab w:val="left" w:pos="-142"/>
          <w:tab w:val="num" w:pos="142"/>
        </w:tabs>
        <w:ind w:left="142" w:hanging="142"/>
        <w:rPr>
          <w:b/>
          <w:sz w:val="18"/>
          <w:lang w:val="en-GB"/>
        </w:rPr>
      </w:pPr>
      <w:r w:rsidRPr="00841BC1">
        <w:rPr>
          <w:lang w:val="en-GB"/>
        </w:rPr>
        <w:t>draw up company financial statement</w:t>
      </w:r>
      <w:r w:rsidR="005E09E9" w:rsidRPr="00841BC1">
        <w:rPr>
          <w:lang w:val="en-GB"/>
        </w:rPr>
        <w:t>s</w:t>
      </w:r>
      <w:r w:rsidRPr="00841BC1">
        <w:rPr>
          <w:lang w:val="en-GB"/>
        </w:rPr>
        <w:t>, in accordance with current national legislation</w:t>
      </w:r>
      <w:r w:rsidR="00962CE0" w:rsidRPr="00841BC1">
        <w:rPr>
          <w:lang w:val="en-GB"/>
        </w:rPr>
        <w:t>;</w:t>
      </w:r>
    </w:p>
    <w:p w14:paraId="69006C48" w14:textId="58F9AF19" w:rsidR="00962CE0" w:rsidRPr="00841BC1" w:rsidRDefault="001840EA" w:rsidP="00962CE0">
      <w:pPr>
        <w:numPr>
          <w:ilvl w:val="0"/>
          <w:numId w:val="1"/>
        </w:numPr>
        <w:tabs>
          <w:tab w:val="left" w:pos="-142"/>
          <w:tab w:val="num" w:pos="142"/>
        </w:tabs>
        <w:ind w:left="142" w:hanging="142"/>
        <w:rPr>
          <w:b/>
          <w:sz w:val="18"/>
          <w:lang w:val="en-GB"/>
        </w:rPr>
      </w:pPr>
      <w:proofErr w:type="gramStart"/>
      <w:r w:rsidRPr="00841BC1">
        <w:rPr>
          <w:lang w:val="en-GB"/>
        </w:rPr>
        <w:t>read</w:t>
      </w:r>
      <w:proofErr w:type="gramEnd"/>
      <w:r w:rsidRPr="00841BC1">
        <w:rPr>
          <w:lang w:val="en-GB"/>
        </w:rPr>
        <w:t xml:space="preserve"> and interpret the economic, financial and equity dynamics related to </w:t>
      </w:r>
      <w:r w:rsidR="007D0FD6">
        <w:rPr>
          <w:lang w:val="en-GB"/>
        </w:rPr>
        <w:t xml:space="preserve">the </w:t>
      </w:r>
      <w:r w:rsidR="007D0FD6" w:rsidRPr="00841BC1">
        <w:rPr>
          <w:lang w:val="en-GB"/>
        </w:rPr>
        <w:t xml:space="preserve">management </w:t>
      </w:r>
      <w:r w:rsidR="007D0FD6">
        <w:rPr>
          <w:lang w:val="en-GB"/>
        </w:rPr>
        <w:t xml:space="preserve">of </w:t>
      </w:r>
      <w:r w:rsidRPr="00841BC1">
        <w:rPr>
          <w:lang w:val="en-GB"/>
        </w:rPr>
        <w:t xml:space="preserve">business, </w:t>
      </w:r>
      <w:r w:rsidR="007D0FD6">
        <w:rPr>
          <w:lang w:val="en-GB"/>
        </w:rPr>
        <w:t xml:space="preserve">of </w:t>
      </w:r>
      <w:r w:rsidRPr="00841BC1">
        <w:rPr>
          <w:lang w:val="en-GB"/>
        </w:rPr>
        <w:t>data contained in the financial statements and in the explanatory notes</w:t>
      </w:r>
      <w:r w:rsidR="00962CE0" w:rsidRPr="00841BC1">
        <w:rPr>
          <w:lang w:val="en-GB"/>
        </w:rPr>
        <w:t>.</w:t>
      </w:r>
    </w:p>
    <w:p w14:paraId="5046FF51" w14:textId="77777777" w:rsidR="00962CE0" w:rsidRPr="00841BC1" w:rsidRDefault="00962CE0" w:rsidP="00962CE0">
      <w:pPr>
        <w:spacing w:before="120"/>
        <w:rPr>
          <w:b/>
          <w:i/>
          <w:sz w:val="18"/>
          <w:lang w:val="en-GB"/>
        </w:rPr>
      </w:pPr>
    </w:p>
    <w:p w14:paraId="4EBD9540" w14:textId="6DAB5D28" w:rsidR="00962CE0" w:rsidRPr="00841BC1" w:rsidRDefault="001840EA" w:rsidP="00962CE0">
      <w:pPr>
        <w:spacing w:before="240" w:after="120"/>
        <w:rPr>
          <w:b/>
          <w:i/>
          <w:sz w:val="18"/>
          <w:lang w:val="en-GB"/>
        </w:rPr>
      </w:pPr>
      <w:r w:rsidRPr="00841BC1">
        <w:rPr>
          <w:b/>
          <w:i/>
          <w:sz w:val="18"/>
          <w:lang w:val="en-GB"/>
        </w:rPr>
        <w:t>COURSE CONTENT</w:t>
      </w:r>
    </w:p>
    <w:p w14:paraId="5A139562" w14:textId="53659588" w:rsidR="00CB17D9" w:rsidRPr="00841BC1" w:rsidRDefault="001840EA" w:rsidP="00CB17D9">
      <w:pPr>
        <w:numPr>
          <w:ilvl w:val="0"/>
          <w:numId w:val="1"/>
        </w:numPr>
        <w:tabs>
          <w:tab w:val="clear" w:pos="284"/>
          <w:tab w:val="left" w:pos="142"/>
        </w:tabs>
        <w:ind w:left="284" w:hanging="284"/>
        <w:rPr>
          <w:lang w:val="en-GB"/>
        </w:rPr>
      </w:pPr>
      <w:r w:rsidRPr="00841BC1">
        <w:rPr>
          <w:lang w:val="en-GB"/>
        </w:rPr>
        <w:t>The double</w:t>
      </w:r>
      <w:r w:rsidR="00A57A25" w:rsidRPr="00841BC1">
        <w:rPr>
          <w:lang w:val="en-GB"/>
        </w:rPr>
        <w:t>-</w:t>
      </w:r>
      <w:r w:rsidRPr="00841BC1">
        <w:rPr>
          <w:lang w:val="en-GB"/>
        </w:rPr>
        <w:t>entry methodology applied to the income system</w:t>
      </w:r>
      <w:r w:rsidR="00374E02" w:rsidRPr="00841BC1">
        <w:rPr>
          <w:lang w:val="en-GB"/>
        </w:rPr>
        <w:t>;</w:t>
      </w:r>
    </w:p>
    <w:p w14:paraId="3C56C856" w14:textId="61EB44A0" w:rsidR="00CB17D9" w:rsidRPr="00841BC1" w:rsidRDefault="005709FC" w:rsidP="00CB17D9">
      <w:pPr>
        <w:numPr>
          <w:ilvl w:val="0"/>
          <w:numId w:val="1"/>
        </w:numPr>
        <w:tabs>
          <w:tab w:val="clear" w:pos="284"/>
          <w:tab w:val="left" w:pos="142"/>
        </w:tabs>
        <w:ind w:left="284" w:hanging="284"/>
        <w:rPr>
          <w:lang w:val="en-GB"/>
        </w:rPr>
      </w:pPr>
      <w:r w:rsidRPr="00841BC1">
        <w:rPr>
          <w:lang w:val="en-GB"/>
        </w:rPr>
        <w:t>M</w:t>
      </w:r>
      <w:r w:rsidR="001840EA" w:rsidRPr="00841BC1">
        <w:rPr>
          <w:lang w:val="en-GB"/>
        </w:rPr>
        <w:t>ain classes of operations</w:t>
      </w:r>
      <w:r w:rsidR="00374E02" w:rsidRPr="00841BC1">
        <w:rPr>
          <w:lang w:val="en-GB"/>
        </w:rPr>
        <w:t>;</w:t>
      </w:r>
    </w:p>
    <w:p w14:paraId="68506F1F" w14:textId="2079F04E" w:rsidR="00CB17D9" w:rsidRPr="00841BC1" w:rsidRDefault="001840EA" w:rsidP="00CB17D9">
      <w:pPr>
        <w:numPr>
          <w:ilvl w:val="0"/>
          <w:numId w:val="1"/>
        </w:numPr>
        <w:tabs>
          <w:tab w:val="clear" w:pos="284"/>
          <w:tab w:val="left" w:pos="142"/>
        </w:tabs>
        <w:ind w:left="284" w:hanging="284"/>
        <w:rPr>
          <w:lang w:val="en-GB"/>
        </w:rPr>
      </w:pPr>
      <w:r w:rsidRPr="00841BC1">
        <w:rPr>
          <w:lang w:val="en-GB"/>
        </w:rPr>
        <w:t>Continuous and settlement writings</w:t>
      </w:r>
      <w:r w:rsidR="00374E02" w:rsidRPr="00841BC1">
        <w:rPr>
          <w:lang w:val="en-GB"/>
        </w:rPr>
        <w:t>;</w:t>
      </w:r>
    </w:p>
    <w:p w14:paraId="70C3D6F8" w14:textId="307B1510" w:rsidR="00051FB3" w:rsidRPr="00841BC1" w:rsidRDefault="001840EA" w:rsidP="00CB17D9">
      <w:pPr>
        <w:numPr>
          <w:ilvl w:val="0"/>
          <w:numId w:val="1"/>
        </w:numPr>
        <w:tabs>
          <w:tab w:val="clear" w:pos="284"/>
          <w:tab w:val="left" w:pos="142"/>
        </w:tabs>
        <w:ind w:left="284" w:hanging="284"/>
        <w:rPr>
          <w:lang w:val="en-GB"/>
        </w:rPr>
      </w:pPr>
      <w:r w:rsidRPr="00841BC1">
        <w:rPr>
          <w:lang w:val="en-GB"/>
        </w:rPr>
        <w:t xml:space="preserve">Closing </w:t>
      </w:r>
      <w:r w:rsidR="00A57A25" w:rsidRPr="00841BC1">
        <w:rPr>
          <w:lang w:val="en-GB"/>
        </w:rPr>
        <w:t>entries</w:t>
      </w:r>
      <w:r w:rsidRPr="00841BC1">
        <w:rPr>
          <w:lang w:val="en-GB"/>
        </w:rPr>
        <w:t xml:space="preserve"> and drawing up the financial statements </w:t>
      </w:r>
    </w:p>
    <w:p w14:paraId="241AD8B7" w14:textId="6C06077F" w:rsidR="00051FB3" w:rsidRPr="00841BC1" w:rsidRDefault="001840EA" w:rsidP="00CB17D9">
      <w:pPr>
        <w:numPr>
          <w:ilvl w:val="0"/>
          <w:numId w:val="1"/>
        </w:numPr>
        <w:tabs>
          <w:tab w:val="clear" w:pos="284"/>
          <w:tab w:val="left" w:pos="142"/>
        </w:tabs>
        <w:ind w:left="284" w:hanging="284"/>
        <w:rPr>
          <w:lang w:val="en-GB"/>
        </w:rPr>
      </w:pPr>
      <w:r w:rsidRPr="00841BC1">
        <w:rPr>
          <w:lang w:val="en-GB"/>
        </w:rPr>
        <w:t xml:space="preserve">The opening of accounts and the destination of the operating income </w:t>
      </w:r>
    </w:p>
    <w:p w14:paraId="34F89842" w14:textId="77DDE831" w:rsidR="00374E02" w:rsidRPr="00841BC1" w:rsidRDefault="005709FC" w:rsidP="00374E02">
      <w:pPr>
        <w:numPr>
          <w:ilvl w:val="0"/>
          <w:numId w:val="1"/>
        </w:numPr>
        <w:tabs>
          <w:tab w:val="clear" w:pos="284"/>
          <w:tab w:val="left" w:pos="142"/>
        </w:tabs>
        <w:ind w:left="284" w:hanging="284"/>
        <w:rPr>
          <w:lang w:val="en-GB"/>
        </w:rPr>
      </w:pPr>
      <w:r w:rsidRPr="00841BC1">
        <w:rPr>
          <w:lang w:val="en-GB"/>
        </w:rPr>
        <w:t>E</w:t>
      </w:r>
      <w:r w:rsidR="002222CE" w:rsidRPr="00841BC1">
        <w:rPr>
          <w:lang w:val="en-GB"/>
        </w:rPr>
        <w:t>valuation criteria</w:t>
      </w:r>
      <w:r w:rsidR="00374E02" w:rsidRPr="00841BC1">
        <w:rPr>
          <w:lang w:val="en-GB"/>
        </w:rPr>
        <w:t>;</w:t>
      </w:r>
    </w:p>
    <w:p w14:paraId="3FF5E329" w14:textId="4B16E077" w:rsidR="00374E02" w:rsidRPr="00841BC1" w:rsidRDefault="002222CE" w:rsidP="00374E02">
      <w:pPr>
        <w:numPr>
          <w:ilvl w:val="0"/>
          <w:numId w:val="1"/>
        </w:numPr>
        <w:tabs>
          <w:tab w:val="clear" w:pos="284"/>
          <w:tab w:val="left" w:pos="142"/>
        </w:tabs>
        <w:ind w:left="284" w:hanging="284"/>
        <w:rPr>
          <w:lang w:val="en-GB"/>
        </w:rPr>
      </w:pPr>
      <w:r w:rsidRPr="00841BC1">
        <w:rPr>
          <w:lang w:val="en-GB"/>
        </w:rPr>
        <w:t xml:space="preserve">Income taxes (outline); </w:t>
      </w:r>
    </w:p>
    <w:p w14:paraId="571864CC" w14:textId="3979F04F" w:rsidR="00374E02" w:rsidRPr="00841BC1" w:rsidRDefault="002222CE" w:rsidP="00CB17D9">
      <w:pPr>
        <w:numPr>
          <w:ilvl w:val="0"/>
          <w:numId w:val="1"/>
        </w:numPr>
        <w:tabs>
          <w:tab w:val="clear" w:pos="284"/>
          <w:tab w:val="left" w:pos="142"/>
        </w:tabs>
        <w:ind w:left="284" w:hanging="284"/>
        <w:rPr>
          <w:lang w:val="en-GB"/>
        </w:rPr>
      </w:pPr>
      <w:r w:rsidRPr="00841BC1">
        <w:rPr>
          <w:lang w:val="en-GB"/>
        </w:rPr>
        <w:lastRenderedPageBreak/>
        <w:t xml:space="preserve">Financial </w:t>
      </w:r>
      <w:r w:rsidR="005064EE" w:rsidRPr="00841BC1">
        <w:rPr>
          <w:lang w:val="en-GB"/>
        </w:rPr>
        <w:t>management</w:t>
      </w:r>
      <w:r w:rsidR="005064EE">
        <w:rPr>
          <w:lang w:val="en-GB"/>
        </w:rPr>
        <w:t>;</w:t>
      </w:r>
    </w:p>
    <w:p w14:paraId="5DDFDC32" w14:textId="517D9E74" w:rsidR="00CB17D9" w:rsidRPr="00841BC1" w:rsidRDefault="002222CE" w:rsidP="00DB5CAB">
      <w:pPr>
        <w:numPr>
          <w:ilvl w:val="0"/>
          <w:numId w:val="1"/>
        </w:numPr>
        <w:tabs>
          <w:tab w:val="clear" w:pos="284"/>
          <w:tab w:val="clear" w:pos="360"/>
          <w:tab w:val="left" w:pos="142"/>
        </w:tabs>
        <w:ind w:left="142" w:hanging="142"/>
        <w:rPr>
          <w:lang w:val="en-GB"/>
        </w:rPr>
      </w:pPr>
      <w:r w:rsidRPr="00841BC1">
        <w:rPr>
          <w:lang w:val="en-GB"/>
        </w:rPr>
        <w:t xml:space="preserve">The financial statements intended for publication: balance sheet, income statement and </w:t>
      </w:r>
      <w:r w:rsidR="005064EE">
        <w:rPr>
          <w:lang w:val="en-GB"/>
        </w:rPr>
        <w:t>cash flow statement;</w:t>
      </w:r>
    </w:p>
    <w:p w14:paraId="700F4E31" w14:textId="0FC92E3E" w:rsidR="00CB17D9" w:rsidRPr="00841BC1" w:rsidRDefault="002222CE" w:rsidP="005064EE">
      <w:pPr>
        <w:numPr>
          <w:ilvl w:val="0"/>
          <w:numId w:val="1"/>
        </w:numPr>
        <w:tabs>
          <w:tab w:val="clear" w:pos="284"/>
          <w:tab w:val="clear" w:pos="360"/>
          <w:tab w:val="num" w:pos="142"/>
        </w:tabs>
        <w:ind w:left="142" w:hanging="142"/>
        <w:rPr>
          <w:lang w:val="en-GB"/>
        </w:rPr>
      </w:pPr>
      <w:r w:rsidRPr="00841BC1">
        <w:rPr>
          <w:lang w:val="en-GB"/>
        </w:rPr>
        <w:t>The management report</w:t>
      </w:r>
      <w:r w:rsidR="005064EE">
        <w:rPr>
          <w:lang w:val="en-GB"/>
        </w:rPr>
        <w:t>,</w:t>
      </w:r>
      <w:r w:rsidRPr="00841BC1">
        <w:rPr>
          <w:lang w:val="en-GB"/>
        </w:rPr>
        <w:t xml:space="preserve"> other supplementary disclosure documents</w:t>
      </w:r>
      <w:r w:rsidR="005064EE">
        <w:rPr>
          <w:lang w:val="en-GB"/>
        </w:rPr>
        <w:t xml:space="preserve"> and non-financial disclosure;</w:t>
      </w:r>
    </w:p>
    <w:p w14:paraId="3152CDDC" w14:textId="77777777" w:rsidR="00C52024" w:rsidRPr="00841BC1" w:rsidRDefault="00C52024" w:rsidP="00962CE0">
      <w:pPr>
        <w:keepNext/>
        <w:spacing w:before="120"/>
        <w:rPr>
          <w:b/>
          <w:i/>
          <w:sz w:val="18"/>
          <w:lang w:val="en-GB"/>
        </w:rPr>
      </w:pPr>
      <w:bookmarkStart w:id="0" w:name="_GoBack"/>
      <w:bookmarkEnd w:id="0"/>
    </w:p>
    <w:p w14:paraId="4CFDB2F0" w14:textId="2083DC8F" w:rsidR="00962CE0" w:rsidRPr="00841BC1" w:rsidRDefault="002222CE" w:rsidP="00962CE0">
      <w:pPr>
        <w:keepNext/>
        <w:spacing w:before="120"/>
        <w:rPr>
          <w:b/>
          <w:i/>
          <w:sz w:val="18"/>
          <w:lang w:val="en-GB"/>
        </w:rPr>
      </w:pPr>
      <w:r w:rsidRPr="00841BC1">
        <w:rPr>
          <w:b/>
          <w:i/>
          <w:sz w:val="18"/>
          <w:lang w:val="en-GB"/>
        </w:rPr>
        <w:t>READING LIST</w:t>
      </w:r>
    </w:p>
    <w:p w14:paraId="3BC678A1" w14:textId="77777777" w:rsidR="00A52B76" w:rsidRPr="00841BC1" w:rsidRDefault="00A52B76" w:rsidP="00962CE0">
      <w:pPr>
        <w:keepNext/>
        <w:spacing w:before="120"/>
        <w:rPr>
          <w:b/>
          <w:sz w:val="18"/>
          <w:lang w:val="en-GB"/>
        </w:rPr>
      </w:pPr>
    </w:p>
    <w:p w14:paraId="480E915A" w14:textId="6058B739" w:rsidR="004259B0" w:rsidRPr="00841BC1" w:rsidRDefault="002222CE" w:rsidP="004259B0">
      <w:pPr>
        <w:pStyle w:val="Testo1"/>
        <w:rPr>
          <w:lang w:val="en-GB"/>
        </w:rPr>
      </w:pPr>
      <w:r w:rsidRPr="00841BC1">
        <w:rPr>
          <w:lang w:val="en-GB"/>
        </w:rPr>
        <w:t>Textbooks</w:t>
      </w:r>
    </w:p>
    <w:p w14:paraId="597FF1A5" w14:textId="55B9F0B6" w:rsidR="00706092" w:rsidRPr="005064EE" w:rsidRDefault="00706092" w:rsidP="00706092">
      <w:pPr>
        <w:pStyle w:val="Testo1"/>
        <w:spacing w:line="240" w:lineRule="exact"/>
        <w:rPr>
          <w:spacing w:val="-5"/>
        </w:rPr>
      </w:pPr>
      <w:r w:rsidRPr="00841BC1">
        <w:rPr>
          <w:smallCaps/>
          <w:spacing w:val="-5"/>
          <w:sz w:val="16"/>
          <w:szCs w:val="16"/>
          <w:lang w:val="en-GB"/>
        </w:rPr>
        <w:t xml:space="preserve">P. Andrei-A. </w:t>
      </w:r>
      <w:r w:rsidRPr="005064EE">
        <w:rPr>
          <w:smallCaps/>
          <w:spacing w:val="-5"/>
          <w:sz w:val="16"/>
          <w:szCs w:val="16"/>
        </w:rPr>
        <w:t>M. Fellegara</w:t>
      </w:r>
      <w:r w:rsidRPr="005064EE">
        <w:rPr>
          <w:i/>
          <w:spacing w:val="-5"/>
        </w:rPr>
        <w:t>,</w:t>
      </w:r>
      <w:r w:rsidRPr="005064EE">
        <w:rPr>
          <w:spacing w:val="-5"/>
        </w:rPr>
        <w:t xml:space="preserve"> </w:t>
      </w:r>
      <w:r w:rsidRPr="005064EE">
        <w:rPr>
          <w:i/>
          <w:spacing w:val="-5"/>
        </w:rPr>
        <w:t>Contabilità generale e bilancio d’esercizio</w:t>
      </w:r>
      <w:r w:rsidRPr="005064EE">
        <w:rPr>
          <w:spacing w:val="-5"/>
        </w:rPr>
        <w:t>, Giappichelli,  T</w:t>
      </w:r>
      <w:r w:rsidR="002222CE" w:rsidRPr="005064EE">
        <w:rPr>
          <w:spacing w:val="-5"/>
        </w:rPr>
        <w:t>u</w:t>
      </w:r>
      <w:r w:rsidRPr="005064EE">
        <w:rPr>
          <w:spacing w:val="-5"/>
        </w:rPr>
        <w:t xml:space="preserve">rin, </w:t>
      </w:r>
      <w:r w:rsidR="00C52024" w:rsidRPr="005064EE">
        <w:rPr>
          <w:spacing w:val="-5"/>
        </w:rPr>
        <w:t>20</w:t>
      </w:r>
      <w:r w:rsidR="005064EE">
        <w:rPr>
          <w:spacing w:val="-5"/>
        </w:rPr>
        <w:t>22</w:t>
      </w:r>
      <w:r w:rsidRPr="005064EE">
        <w:rPr>
          <w:spacing w:val="-5"/>
        </w:rPr>
        <w:t>.</w:t>
      </w:r>
    </w:p>
    <w:p w14:paraId="1FB869E4" w14:textId="77777777" w:rsidR="00C52024" w:rsidRPr="005064EE" w:rsidRDefault="00C52024" w:rsidP="00494BF9">
      <w:pPr>
        <w:pStyle w:val="Testo1"/>
        <w:ind w:left="0" w:firstLine="0"/>
      </w:pPr>
    </w:p>
    <w:p w14:paraId="56B87E1B" w14:textId="77F506B5" w:rsidR="00C52024" w:rsidRPr="00841BC1" w:rsidRDefault="002222CE" w:rsidP="00494BF9">
      <w:pPr>
        <w:pStyle w:val="Testo1"/>
        <w:ind w:left="0" w:firstLine="0"/>
        <w:rPr>
          <w:lang w:val="en-GB"/>
        </w:rPr>
      </w:pPr>
      <w:r w:rsidRPr="00841BC1">
        <w:rPr>
          <w:lang w:val="en-GB"/>
        </w:rPr>
        <w:t>The text</w:t>
      </w:r>
      <w:r w:rsidR="005709FC" w:rsidRPr="00841BC1">
        <w:rPr>
          <w:lang w:val="en-GB"/>
        </w:rPr>
        <w:t>book</w:t>
      </w:r>
      <w:r w:rsidRPr="00841BC1">
        <w:rPr>
          <w:lang w:val="en-GB"/>
        </w:rPr>
        <w:t xml:space="preserve"> is supported by an online Exercise Book to facilitate the practice of accounting recognition by students, and by exercises uploaded to Bl</w:t>
      </w:r>
      <w:r w:rsidR="00DF5957">
        <w:rPr>
          <w:lang w:val="en-GB"/>
        </w:rPr>
        <w:t>a</w:t>
      </w:r>
      <w:r w:rsidRPr="00841BC1">
        <w:rPr>
          <w:lang w:val="en-GB"/>
        </w:rPr>
        <w:t>ckboard relating to the valuations of the main financial statement items</w:t>
      </w:r>
      <w:r w:rsidR="000C657E" w:rsidRPr="00841BC1">
        <w:rPr>
          <w:lang w:val="en-GB"/>
        </w:rPr>
        <w:t>.</w:t>
      </w:r>
    </w:p>
    <w:p w14:paraId="60A74E36" w14:textId="77777777" w:rsidR="00C52024" w:rsidRPr="00841BC1" w:rsidRDefault="00C52024" w:rsidP="00494BF9">
      <w:pPr>
        <w:pStyle w:val="Testo1"/>
        <w:ind w:left="0" w:firstLine="0"/>
        <w:rPr>
          <w:lang w:val="en-GB"/>
        </w:rPr>
      </w:pPr>
    </w:p>
    <w:p w14:paraId="0123A49C" w14:textId="79D9141B" w:rsidR="00494BF9" w:rsidRPr="00841BC1" w:rsidRDefault="002222CE" w:rsidP="00494BF9">
      <w:pPr>
        <w:pStyle w:val="Testo1"/>
        <w:ind w:left="0" w:firstLine="0"/>
        <w:rPr>
          <w:lang w:val="en-GB"/>
        </w:rPr>
      </w:pPr>
      <w:r w:rsidRPr="00841BC1">
        <w:rPr>
          <w:lang w:val="en-GB"/>
        </w:rPr>
        <w:t xml:space="preserve">The teaching materials and cases entered by the </w:t>
      </w:r>
      <w:r w:rsidR="005127A7" w:rsidRPr="00841BC1">
        <w:rPr>
          <w:lang w:val="en-GB"/>
        </w:rPr>
        <w:t>lecturer</w:t>
      </w:r>
      <w:r w:rsidRPr="00841BC1">
        <w:rPr>
          <w:lang w:val="en-GB"/>
        </w:rPr>
        <w:t xml:space="preserve"> on the </w:t>
      </w:r>
      <w:r w:rsidR="005127A7" w:rsidRPr="00841BC1">
        <w:rPr>
          <w:lang w:val="en-GB"/>
        </w:rPr>
        <w:t>B</w:t>
      </w:r>
      <w:r w:rsidRPr="00841BC1">
        <w:rPr>
          <w:lang w:val="en-GB"/>
        </w:rPr>
        <w:t>lackboard platform are an integral part of the course and must be considered as textbooks</w:t>
      </w:r>
      <w:r w:rsidR="00494BF9" w:rsidRPr="00841BC1">
        <w:rPr>
          <w:lang w:val="en-GB"/>
        </w:rPr>
        <w:t>.</w:t>
      </w:r>
    </w:p>
    <w:p w14:paraId="4F6EA17A" w14:textId="77777777" w:rsidR="00962CE0" w:rsidRPr="00841BC1" w:rsidRDefault="00962CE0" w:rsidP="00962CE0">
      <w:pPr>
        <w:pStyle w:val="Testo1"/>
        <w:rPr>
          <w:lang w:val="en-GB"/>
        </w:rPr>
      </w:pPr>
    </w:p>
    <w:p w14:paraId="41B9DBE8" w14:textId="1267E251" w:rsidR="005D7AE5" w:rsidRPr="005064EE" w:rsidRDefault="002222CE" w:rsidP="00706092">
      <w:pPr>
        <w:pStyle w:val="Testo1"/>
        <w:ind w:left="0" w:firstLine="0"/>
      </w:pPr>
      <w:r w:rsidRPr="005064EE">
        <w:t>Recommended readings</w:t>
      </w:r>
      <w:r w:rsidR="004635DE" w:rsidRPr="005064EE">
        <w:t>:</w:t>
      </w:r>
    </w:p>
    <w:p w14:paraId="34F0B219" w14:textId="4E3839D7" w:rsidR="004635DE" w:rsidRPr="005064EE" w:rsidRDefault="002222CE" w:rsidP="00706092">
      <w:pPr>
        <w:pStyle w:val="Testo1"/>
        <w:ind w:left="0" w:firstLine="0"/>
      </w:pPr>
      <w:r w:rsidRPr="005064EE">
        <w:t>edited by</w:t>
      </w:r>
      <w:r w:rsidR="004635DE" w:rsidRPr="005064EE">
        <w:t xml:space="preserve"> G. Lombardi Stocchetti, Valutazioni e analisi di bilancio, Pearson,</w:t>
      </w:r>
      <w:r w:rsidR="000C657E" w:rsidRPr="005064EE">
        <w:t xml:space="preserve"> 2015</w:t>
      </w:r>
      <w:r w:rsidR="004635DE" w:rsidRPr="005064EE">
        <w:t xml:space="preserve"> </w:t>
      </w:r>
    </w:p>
    <w:p w14:paraId="12361E83" w14:textId="06E6434C" w:rsidR="00962CE0" w:rsidRPr="00841BC1" w:rsidRDefault="002222CE" w:rsidP="00962CE0">
      <w:pPr>
        <w:spacing w:before="240" w:after="120" w:line="220" w:lineRule="exact"/>
        <w:rPr>
          <w:b/>
          <w:i/>
          <w:sz w:val="18"/>
          <w:lang w:val="en-GB"/>
        </w:rPr>
      </w:pPr>
      <w:r w:rsidRPr="00841BC1">
        <w:rPr>
          <w:b/>
          <w:i/>
          <w:sz w:val="18"/>
          <w:lang w:val="en-GB"/>
        </w:rPr>
        <w:t xml:space="preserve">TEACHING METHOD </w:t>
      </w:r>
    </w:p>
    <w:p w14:paraId="413D4927" w14:textId="5A910548" w:rsidR="00962CE0" w:rsidRPr="00841BC1" w:rsidRDefault="002222CE" w:rsidP="00962CE0">
      <w:pPr>
        <w:pStyle w:val="Testo2"/>
        <w:ind w:firstLine="0"/>
        <w:rPr>
          <w:sz w:val="20"/>
          <w:lang w:val="en-GB"/>
        </w:rPr>
      </w:pPr>
      <w:r w:rsidRPr="00841BC1">
        <w:rPr>
          <w:sz w:val="20"/>
          <w:lang w:val="en-GB"/>
        </w:rPr>
        <w:t xml:space="preserve">The course </w:t>
      </w:r>
      <w:r w:rsidR="005127A7" w:rsidRPr="00841BC1">
        <w:rPr>
          <w:sz w:val="20"/>
          <w:lang w:val="en-GB"/>
        </w:rPr>
        <w:t>consists of</w:t>
      </w:r>
      <w:r w:rsidRPr="00841BC1">
        <w:rPr>
          <w:sz w:val="20"/>
          <w:lang w:val="en-GB"/>
        </w:rPr>
        <w:t xml:space="preserve"> lectures and </w:t>
      </w:r>
      <w:r w:rsidR="005127A7" w:rsidRPr="00841BC1">
        <w:rPr>
          <w:sz w:val="20"/>
          <w:lang w:val="en-GB"/>
        </w:rPr>
        <w:t xml:space="preserve">practical </w:t>
      </w:r>
      <w:r w:rsidRPr="00841BC1">
        <w:rPr>
          <w:sz w:val="20"/>
          <w:lang w:val="en-GB"/>
        </w:rPr>
        <w:t>exercises</w:t>
      </w:r>
      <w:r w:rsidR="00962CE0" w:rsidRPr="00841BC1">
        <w:rPr>
          <w:sz w:val="20"/>
          <w:lang w:val="en-GB"/>
        </w:rPr>
        <w:t xml:space="preserve">. </w:t>
      </w:r>
    </w:p>
    <w:p w14:paraId="672C3488" w14:textId="77777777" w:rsidR="00962CE0" w:rsidRPr="00841BC1" w:rsidRDefault="00962CE0" w:rsidP="00962CE0">
      <w:pPr>
        <w:spacing w:before="240" w:after="120" w:line="220" w:lineRule="exact"/>
        <w:rPr>
          <w:b/>
          <w:i/>
          <w:sz w:val="18"/>
          <w:lang w:val="en-GB"/>
        </w:rPr>
      </w:pPr>
    </w:p>
    <w:p w14:paraId="25E83DAB" w14:textId="0E6D5590" w:rsidR="00962CE0" w:rsidRPr="00841BC1" w:rsidRDefault="002222CE" w:rsidP="00962CE0">
      <w:pPr>
        <w:spacing w:line="220" w:lineRule="exact"/>
        <w:rPr>
          <w:b/>
          <w:i/>
          <w:sz w:val="18"/>
          <w:lang w:val="en-GB"/>
        </w:rPr>
      </w:pPr>
      <w:r w:rsidRPr="00841BC1">
        <w:rPr>
          <w:b/>
          <w:i/>
          <w:sz w:val="18"/>
          <w:lang w:val="en-GB"/>
        </w:rPr>
        <w:t>ASSESSMENT METHOD AND CRITERIA</w:t>
      </w:r>
    </w:p>
    <w:p w14:paraId="7173E277" w14:textId="7AB45E04" w:rsidR="002D5E19" w:rsidRPr="00841BC1" w:rsidRDefault="002222CE" w:rsidP="00742AAE">
      <w:pPr>
        <w:pStyle w:val="Testo1"/>
        <w:spacing w:before="120"/>
        <w:rPr>
          <w:szCs w:val="18"/>
          <w:lang w:val="en-GB"/>
        </w:rPr>
      </w:pPr>
      <w:r w:rsidRPr="00841BC1">
        <w:rPr>
          <w:szCs w:val="18"/>
          <w:lang w:val="en-GB"/>
        </w:rPr>
        <w:t xml:space="preserve">Learning outcomes are </w:t>
      </w:r>
      <w:r w:rsidR="005227FB" w:rsidRPr="00841BC1">
        <w:rPr>
          <w:szCs w:val="18"/>
          <w:lang w:val="en-GB"/>
        </w:rPr>
        <w:t>verified</w:t>
      </w:r>
      <w:r w:rsidRPr="00841BC1">
        <w:rPr>
          <w:szCs w:val="18"/>
          <w:lang w:val="en-GB"/>
        </w:rPr>
        <w:t xml:space="preserve"> through a compulsory written test. The exam </w:t>
      </w:r>
      <w:r w:rsidR="005227FB" w:rsidRPr="00841BC1">
        <w:rPr>
          <w:szCs w:val="18"/>
          <w:lang w:val="en-GB"/>
        </w:rPr>
        <w:t>includes</w:t>
      </w:r>
      <w:r w:rsidRPr="00841BC1">
        <w:rPr>
          <w:szCs w:val="18"/>
          <w:lang w:val="en-GB"/>
        </w:rPr>
        <w:t xml:space="preserve"> exercises and is divided into 4 parts focused on the following aspects</w:t>
      </w:r>
      <w:r w:rsidR="002D5E19" w:rsidRPr="00841BC1">
        <w:rPr>
          <w:szCs w:val="18"/>
          <w:lang w:val="en-GB"/>
        </w:rPr>
        <w:t>:</w:t>
      </w:r>
    </w:p>
    <w:p w14:paraId="02090B5D" w14:textId="52B57230" w:rsidR="002D5E19" w:rsidRPr="00841BC1" w:rsidRDefault="002222CE" w:rsidP="002D5E19">
      <w:pPr>
        <w:pStyle w:val="Testo2"/>
        <w:numPr>
          <w:ilvl w:val="0"/>
          <w:numId w:val="8"/>
        </w:numPr>
        <w:spacing w:before="120"/>
        <w:rPr>
          <w:szCs w:val="18"/>
          <w:lang w:val="en-GB"/>
        </w:rPr>
      </w:pPr>
      <w:r w:rsidRPr="00841BC1">
        <w:rPr>
          <w:szCs w:val="18"/>
          <w:lang w:val="en-GB"/>
        </w:rPr>
        <w:t xml:space="preserve">Drafting of continuous accounting records relating to the main management operations  </w:t>
      </w:r>
    </w:p>
    <w:p w14:paraId="7EC73852" w14:textId="15EA76EE" w:rsidR="00654134" w:rsidRPr="00841BC1" w:rsidRDefault="002222CE" w:rsidP="002D5E19">
      <w:pPr>
        <w:pStyle w:val="Testo2"/>
        <w:numPr>
          <w:ilvl w:val="0"/>
          <w:numId w:val="8"/>
        </w:numPr>
        <w:spacing w:before="120"/>
        <w:rPr>
          <w:szCs w:val="18"/>
          <w:lang w:val="en-GB"/>
        </w:rPr>
      </w:pPr>
      <w:r w:rsidRPr="00841BC1">
        <w:rPr>
          <w:szCs w:val="18"/>
          <w:lang w:val="en-GB"/>
        </w:rPr>
        <w:t xml:space="preserve">Drafting of settlement, rectification and year-end closing records  </w:t>
      </w:r>
    </w:p>
    <w:p w14:paraId="6CD06B29" w14:textId="4624EE8F" w:rsidR="00654134" w:rsidRPr="00841BC1" w:rsidRDefault="002222CE" w:rsidP="002D5E19">
      <w:pPr>
        <w:pStyle w:val="Testo2"/>
        <w:numPr>
          <w:ilvl w:val="0"/>
          <w:numId w:val="8"/>
        </w:numPr>
        <w:spacing w:before="120"/>
        <w:rPr>
          <w:szCs w:val="18"/>
          <w:lang w:val="en-GB"/>
        </w:rPr>
      </w:pPr>
      <w:r w:rsidRPr="00841BC1">
        <w:rPr>
          <w:szCs w:val="18"/>
          <w:lang w:val="en-GB"/>
        </w:rPr>
        <w:t xml:space="preserve">Classification of company values on the statutory </w:t>
      </w:r>
      <w:r w:rsidR="00B8708C" w:rsidRPr="00841BC1">
        <w:rPr>
          <w:szCs w:val="18"/>
          <w:lang w:val="en-GB"/>
        </w:rPr>
        <w:t>B</w:t>
      </w:r>
      <w:r w:rsidRPr="00841BC1">
        <w:rPr>
          <w:szCs w:val="18"/>
          <w:lang w:val="en-GB"/>
        </w:rPr>
        <w:t xml:space="preserve">alance </w:t>
      </w:r>
      <w:r w:rsidR="00B8708C" w:rsidRPr="00841BC1">
        <w:rPr>
          <w:szCs w:val="18"/>
          <w:lang w:val="en-GB"/>
        </w:rPr>
        <w:t>S</w:t>
      </w:r>
      <w:r w:rsidRPr="00841BC1">
        <w:rPr>
          <w:szCs w:val="18"/>
          <w:lang w:val="en-GB"/>
        </w:rPr>
        <w:t xml:space="preserve">heet and </w:t>
      </w:r>
      <w:r w:rsidR="00B8708C" w:rsidRPr="00841BC1">
        <w:rPr>
          <w:szCs w:val="18"/>
          <w:lang w:val="en-GB"/>
        </w:rPr>
        <w:t>I</w:t>
      </w:r>
      <w:r w:rsidRPr="00841BC1">
        <w:rPr>
          <w:szCs w:val="18"/>
          <w:lang w:val="en-GB"/>
        </w:rPr>
        <w:t xml:space="preserve">ncome </w:t>
      </w:r>
      <w:r w:rsidR="00B8708C" w:rsidRPr="00841BC1">
        <w:rPr>
          <w:szCs w:val="18"/>
          <w:lang w:val="en-GB"/>
        </w:rPr>
        <w:t>S</w:t>
      </w:r>
      <w:r w:rsidRPr="00841BC1">
        <w:rPr>
          <w:szCs w:val="18"/>
          <w:lang w:val="en-GB"/>
        </w:rPr>
        <w:t xml:space="preserve">tatement schemes  </w:t>
      </w:r>
    </w:p>
    <w:p w14:paraId="457E6DDC" w14:textId="68990E5E" w:rsidR="00654134" w:rsidRPr="00841BC1" w:rsidRDefault="002222CE" w:rsidP="00654134">
      <w:pPr>
        <w:pStyle w:val="Testo2"/>
        <w:numPr>
          <w:ilvl w:val="0"/>
          <w:numId w:val="8"/>
        </w:numPr>
        <w:spacing w:before="120"/>
        <w:rPr>
          <w:szCs w:val="18"/>
          <w:lang w:val="en-GB"/>
        </w:rPr>
      </w:pPr>
      <w:r w:rsidRPr="00841BC1">
        <w:rPr>
          <w:szCs w:val="18"/>
          <w:lang w:val="en-GB"/>
        </w:rPr>
        <w:t xml:space="preserve">Evaluation of the main categories of assets  </w:t>
      </w:r>
    </w:p>
    <w:p w14:paraId="579AC1E1" w14:textId="338BE23C" w:rsidR="005D1BDE" w:rsidRPr="00841BC1" w:rsidRDefault="002222CE" w:rsidP="005D1BDE">
      <w:pPr>
        <w:pStyle w:val="Testo2"/>
        <w:spacing w:before="120"/>
        <w:rPr>
          <w:szCs w:val="18"/>
          <w:lang w:val="en-GB"/>
        </w:rPr>
      </w:pPr>
      <w:r w:rsidRPr="00841BC1">
        <w:rPr>
          <w:szCs w:val="18"/>
          <w:lang w:val="en-GB"/>
        </w:rPr>
        <w:t xml:space="preserve">The exercises may be </w:t>
      </w:r>
      <w:r w:rsidR="00B8708C" w:rsidRPr="00841BC1">
        <w:rPr>
          <w:szCs w:val="18"/>
          <w:lang w:val="en-GB"/>
        </w:rPr>
        <w:t>supplemented</w:t>
      </w:r>
      <w:r w:rsidRPr="00841BC1">
        <w:rPr>
          <w:szCs w:val="18"/>
          <w:lang w:val="en-GB"/>
        </w:rPr>
        <w:t xml:space="preserve"> by theory questions on general and descriptive aspects</w:t>
      </w:r>
      <w:r w:rsidR="005D1BDE" w:rsidRPr="00841BC1">
        <w:rPr>
          <w:szCs w:val="18"/>
          <w:lang w:val="en-GB"/>
        </w:rPr>
        <w:t>.</w:t>
      </w:r>
    </w:p>
    <w:p w14:paraId="38B315DD" w14:textId="2D7705CF" w:rsidR="0047149B" w:rsidRPr="00841BC1" w:rsidRDefault="002222CE" w:rsidP="00DF5957">
      <w:pPr>
        <w:pStyle w:val="Testo1"/>
        <w:spacing w:before="120"/>
        <w:rPr>
          <w:szCs w:val="18"/>
          <w:lang w:val="en-GB"/>
        </w:rPr>
      </w:pPr>
      <w:r w:rsidRPr="00841BC1">
        <w:rPr>
          <w:szCs w:val="18"/>
          <w:lang w:val="en-GB"/>
        </w:rPr>
        <w:lastRenderedPageBreak/>
        <w:t xml:space="preserve">In </w:t>
      </w:r>
      <w:r w:rsidR="00CC7823" w:rsidRPr="00841BC1">
        <w:rPr>
          <w:szCs w:val="18"/>
          <w:lang w:val="en-GB"/>
        </w:rPr>
        <w:t xml:space="preserve">the </w:t>
      </w:r>
      <w:r w:rsidR="00D81456" w:rsidRPr="00841BC1">
        <w:rPr>
          <w:szCs w:val="18"/>
          <w:lang w:val="en-GB"/>
        </w:rPr>
        <w:t>assess</w:t>
      </w:r>
      <w:r w:rsidR="00CC7823" w:rsidRPr="00841BC1">
        <w:rPr>
          <w:szCs w:val="18"/>
          <w:lang w:val="en-GB"/>
        </w:rPr>
        <w:t xml:space="preserve">ment of </w:t>
      </w:r>
      <w:r w:rsidRPr="00841BC1">
        <w:rPr>
          <w:szCs w:val="18"/>
          <w:lang w:val="en-GB"/>
        </w:rPr>
        <w:t>the answers, attention will be paid to the students</w:t>
      </w:r>
      <w:r w:rsidR="00CC7823" w:rsidRPr="00841BC1">
        <w:rPr>
          <w:szCs w:val="18"/>
          <w:lang w:val="en-GB"/>
        </w:rPr>
        <w:t>’</w:t>
      </w:r>
      <w:r w:rsidRPr="00841BC1">
        <w:rPr>
          <w:szCs w:val="18"/>
          <w:lang w:val="en-GB"/>
        </w:rPr>
        <w:t xml:space="preserve"> ability to develop links between the different theoretical parts and to recogni</w:t>
      </w:r>
      <w:r w:rsidR="00CC7823" w:rsidRPr="00841BC1">
        <w:rPr>
          <w:szCs w:val="18"/>
          <w:lang w:val="en-GB"/>
        </w:rPr>
        <w:t>s</w:t>
      </w:r>
      <w:r w:rsidRPr="00841BC1">
        <w:rPr>
          <w:szCs w:val="18"/>
          <w:lang w:val="en-GB"/>
        </w:rPr>
        <w:t>e and interpret values derived from the financial statements of national companies.</w:t>
      </w:r>
    </w:p>
    <w:p w14:paraId="016062CE" w14:textId="4A26A014" w:rsidR="004635DE" w:rsidRPr="00841BC1" w:rsidRDefault="00CC7823" w:rsidP="004635DE">
      <w:pPr>
        <w:pStyle w:val="Testo1"/>
        <w:spacing w:before="120"/>
        <w:rPr>
          <w:szCs w:val="18"/>
          <w:lang w:val="en-GB"/>
        </w:rPr>
      </w:pPr>
      <w:r w:rsidRPr="00841BC1">
        <w:rPr>
          <w:szCs w:val="18"/>
          <w:lang w:val="en-GB"/>
        </w:rPr>
        <w:t>S</w:t>
      </w:r>
      <w:r w:rsidR="002222CE" w:rsidRPr="00841BC1">
        <w:rPr>
          <w:szCs w:val="18"/>
          <w:lang w:val="en-GB"/>
        </w:rPr>
        <w:t>tudent</w:t>
      </w:r>
      <w:r w:rsidRPr="00841BC1">
        <w:rPr>
          <w:szCs w:val="18"/>
          <w:lang w:val="en-GB"/>
        </w:rPr>
        <w:t>s</w:t>
      </w:r>
      <w:r w:rsidR="002222CE" w:rsidRPr="00841BC1">
        <w:rPr>
          <w:szCs w:val="18"/>
          <w:lang w:val="en-GB"/>
        </w:rPr>
        <w:t xml:space="preserve"> can take an inter</w:t>
      </w:r>
      <w:r w:rsidRPr="00841BC1">
        <w:rPr>
          <w:szCs w:val="18"/>
          <w:lang w:val="en-GB"/>
        </w:rPr>
        <w:t>im</w:t>
      </w:r>
      <w:r w:rsidR="002222CE" w:rsidRPr="00841BC1">
        <w:rPr>
          <w:szCs w:val="18"/>
          <w:lang w:val="en-GB"/>
        </w:rPr>
        <w:t xml:space="preserve"> test relating to the topics described in points 1) and 2) above. </w:t>
      </w:r>
    </w:p>
    <w:p w14:paraId="259DFF25" w14:textId="3951E823" w:rsidR="00833935" w:rsidRPr="00841BC1" w:rsidRDefault="00833935" w:rsidP="00654134">
      <w:pPr>
        <w:pStyle w:val="Testo1"/>
        <w:spacing w:before="120"/>
        <w:rPr>
          <w:szCs w:val="18"/>
          <w:lang w:val="en-GB"/>
        </w:rPr>
      </w:pPr>
    </w:p>
    <w:p w14:paraId="16435B50" w14:textId="25B90D6B" w:rsidR="00833935" w:rsidRPr="00841BC1" w:rsidRDefault="002222CE" w:rsidP="00352D2A">
      <w:pPr>
        <w:pStyle w:val="Testo1"/>
        <w:spacing w:before="120"/>
        <w:rPr>
          <w:b/>
          <w:i/>
          <w:szCs w:val="18"/>
          <w:lang w:val="en-GB"/>
        </w:rPr>
      </w:pPr>
      <w:r w:rsidRPr="00841BC1">
        <w:rPr>
          <w:b/>
          <w:i/>
          <w:lang w:val="en-GB"/>
        </w:rPr>
        <w:t>NOTES AND PREREQUISITES</w:t>
      </w:r>
    </w:p>
    <w:p w14:paraId="7A3BF8E7" w14:textId="3F963D43" w:rsidR="00833935" w:rsidRPr="00841BC1" w:rsidRDefault="002222CE" w:rsidP="00352D2A">
      <w:pPr>
        <w:pStyle w:val="Testo1"/>
        <w:spacing w:before="120"/>
        <w:rPr>
          <w:szCs w:val="18"/>
          <w:lang w:val="en-GB"/>
        </w:rPr>
      </w:pPr>
      <w:r w:rsidRPr="00841BC1">
        <w:rPr>
          <w:szCs w:val="18"/>
          <w:lang w:val="en-GB"/>
        </w:rPr>
        <w:t>The</w:t>
      </w:r>
      <w:r w:rsidR="00352D2A" w:rsidRPr="00841BC1">
        <w:rPr>
          <w:szCs w:val="18"/>
          <w:lang w:val="en-GB"/>
        </w:rPr>
        <w:t>re are no content-related prerequisites for the course</w:t>
      </w:r>
      <w:r w:rsidRPr="00841BC1">
        <w:rPr>
          <w:szCs w:val="18"/>
          <w:lang w:val="en-GB"/>
        </w:rPr>
        <w:t xml:space="preserve">. </w:t>
      </w:r>
      <w:r w:rsidR="00352D2A" w:rsidRPr="00841BC1">
        <w:rPr>
          <w:szCs w:val="18"/>
          <w:lang w:val="en-GB"/>
        </w:rPr>
        <w:t>H</w:t>
      </w:r>
      <w:r w:rsidRPr="00841BC1">
        <w:rPr>
          <w:szCs w:val="18"/>
          <w:lang w:val="en-GB"/>
        </w:rPr>
        <w:t xml:space="preserve">owever, </w:t>
      </w:r>
      <w:r w:rsidR="00352D2A" w:rsidRPr="00841BC1">
        <w:rPr>
          <w:szCs w:val="18"/>
          <w:lang w:val="en-GB"/>
        </w:rPr>
        <w:t xml:space="preserve">we recommend that students previously study </w:t>
      </w:r>
      <w:r w:rsidRPr="00841BC1">
        <w:rPr>
          <w:szCs w:val="18"/>
          <w:lang w:val="en-GB"/>
        </w:rPr>
        <w:t xml:space="preserve">the topics </w:t>
      </w:r>
      <w:r w:rsidR="00352D2A" w:rsidRPr="00841BC1">
        <w:rPr>
          <w:szCs w:val="18"/>
          <w:lang w:val="en-GB"/>
        </w:rPr>
        <w:t xml:space="preserve">covered by the </w:t>
      </w:r>
      <w:r w:rsidRPr="00841BC1">
        <w:rPr>
          <w:szCs w:val="18"/>
          <w:lang w:val="en-GB"/>
        </w:rPr>
        <w:t xml:space="preserve">Business </w:t>
      </w:r>
      <w:r w:rsidR="00352D2A" w:rsidRPr="00841BC1">
        <w:rPr>
          <w:szCs w:val="18"/>
          <w:lang w:val="en-GB"/>
        </w:rPr>
        <w:t>Administration</w:t>
      </w:r>
      <w:r w:rsidRPr="00841BC1">
        <w:rPr>
          <w:szCs w:val="18"/>
          <w:lang w:val="en-GB"/>
        </w:rPr>
        <w:t xml:space="preserve"> </w:t>
      </w:r>
      <w:r w:rsidR="00352D2A" w:rsidRPr="00841BC1">
        <w:rPr>
          <w:szCs w:val="18"/>
          <w:lang w:val="en-GB"/>
        </w:rPr>
        <w:t xml:space="preserve">course </w:t>
      </w:r>
      <w:r w:rsidRPr="00841BC1">
        <w:rPr>
          <w:szCs w:val="18"/>
          <w:lang w:val="en-GB"/>
        </w:rPr>
        <w:t>which</w:t>
      </w:r>
      <w:r w:rsidR="00DF5957">
        <w:rPr>
          <w:szCs w:val="18"/>
          <w:lang w:val="en-GB"/>
        </w:rPr>
        <w:t xml:space="preserve"> </w:t>
      </w:r>
      <w:r w:rsidRPr="00841BC1">
        <w:rPr>
          <w:szCs w:val="18"/>
          <w:lang w:val="en-GB"/>
        </w:rPr>
        <w:t xml:space="preserve">is </w:t>
      </w:r>
      <w:r w:rsidR="00352D2A" w:rsidRPr="00841BC1">
        <w:rPr>
          <w:szCs w:val="18"/>
          <w:lang w:val="en-GB"/>
        </w:rPr>
        <w:t xml:space="preserve">held </w:t>
      </w:r>
      <w:r w:rsidRPr="00841BC1">
        <w:rPr>
          <w:szCs w:val="18"/>
          <w:lang w:val="en-GB"/>
        </w:rPr>
        <w:t>in the previous semester</w:t>
      </w:r>
      <w:r w:rsidR="00DF5957" w:rsidRPr="00DF5957">
        <w:rPr>
          <w:szCs w:val="18"/>
          <w:lang w:val="en-GB"/>
        </w:rPr>
        <w:t xml:space="preserve"> </w:t>
      </w:r>
      <w:r w:rsidR="00DF5957" w:rsidRPr="00841BC1">
        <w:rPr>
          <w:szCs w:val="18"/>
          <w:lang w:val="en-GB"/>
        </w:rPr>
        <w:t>precisely for this purpose</w:t>
      </w:r>
      <w:r w:rsidR="00833935" w:rsidRPr="00841BC1">
        <w:rPr>
          <w:szCs w:val="18"/>
          <w:lang w:val="en-GB"/>
        </w:rPr>
        <w:t>.</w:t>
      </w:r>
    </w:p>
    <w:p w14:paraId="4B1CC101" w14:textId="77777777" w:rsidR="00654134" w:rsidRPr="00841BC1" w:rsidRDefault="00654134" w:rsidP="00B2550B">
      <w:pPr>
        <w:pStyle w:val="Testo1"/>
        <w:rPr>
          <w:szCs w:val="18"/>
          <w:lang w:val="en-GB"/>
        </w:rPr>
      </w:pPr>
    </w:p>
    <w:p w14:paraId="69DDB9F1" w14:textId="77777777" w:rsidR="00CB17D9" w:rsidRPr="00841BC1" w:rsidRDefault="00CB17D9" w:rsidP="00B2550B">
      <w:pPr>
        <w:pStyle w:val="Testo1"/>
        <w:rPr>
          <w:b/>
          <w:i/>
          <w:szCs w:val="18"/>
          <w:lang w:val="en-GB"/>
        </w:rPr>
      </w:pPr>
    </w:p>
    <w:p w14:paraId="78DC4D97" w14:textId="77777777" w:rsidR="002222CE" w:rsidRPr="00841BC1" w:rsidRDefault="002222CE" w:rsidP="002222CE">
      <w:pPr>
        <w:pStyle w:val="Testo2"/>
        <w:spacing w:before="120"/>
        <w:ind w:left="284" w:right="27" w:firstLine="0"/>
        <w:rPr>
          <w:lang w:val="en-GB"/>
        </w:rPr>
      </w:pPr>
      <w:r w:rsidRPr="00841BC1">
        <w:rPr>
          <w:lang w:val="en-GB"/>
        </w:rPr>
        <w:t xml:space="preserve">Information on office hours available on the teacher's personal page at </w:t>
      </w:r>
      <w:hyperlink r:id="rId8" w:history="1">
        <w:r w:rsidRPr="00841BC1">
          <w:rPr>
            <w:rStyle w:val="Collegamentoipertestuale"/>
            <w:color w:val="auto"/>
            <w:lang w:val="en-GB"/>
          </w:rPr>
          <w:t>http://docenti.unicatt.it/</w:t>
        </w:r>
      </w:hyperlink>
      <w:r w:rsidRPr="00841BC1">
        <w:rPr>
          <w:lang w:val="en-GB"/>
        </w:rPr>
        <w:t>.</w:t>
      </w:r>
    </w:p>
    <w:p w14:paraId="58FB6D6D" w14:textId="75989014" w:rsidR="006E25DA" w:rsidRPr="00DD5963" w:rsidRDefault="006E25DA" w:rsidP="002222CE">
      <w:pPr>
        <w:pStyle w:val="Testo1"/>
        <w:rPr>
          <w:szCs w:val="18"/>
          <w:lang w:val="en-GB"/>
        </w:rPr>
      </w:pPr>
    </w:p>
    <w:sectPr w:rsidR="006E25DA" w:rsidRPr="00DD5963" w:rsidSect="00BE4CEF">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1218"/>
    <w:multiLevelType w:val="hybridMultilevel"/>
    <w:tmpl w:val="55C287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EA4ECB"/>
    <w:multiLevelType w:val="hybridMultilevel"/>
    <w:tmpl w:val="26C00EB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487261"/>
    <w:multiLevelType w:val="hybridMultilevel"/>
    <w:tmpl w:val="A96286F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0255DB"/>
    <w:multiLevelType w:val="hybridMultilevel"/>
    <w:tmpl w:val="17C67858"/>
    <w:lvl w:ilvl="0" w:tplc="4B36C1E2">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072248"/>
    <w:multiLevelType w:val="hybridMultilevel"/>
    <w:tmpl w:val="94A4E40E"/>
    <w:lvl w:ilvl="0" w:tplc="4B36C1E2">
      <w:numFmt w:val="bullet"/>
      <w:lvlText w:val="-"/>
      <w:lvlJc w:val="left"/>
      <w:pPr>
        <w:tabs>
          <w:tab w:val="num" w:pos="1069"/>
        </w:tabs>
        <w:ind w:left="1069" w:hanging="360"/>
      </w:pPr>
      <w:rPr>
        <w:rFont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8C7C05"/>
    <w:multiLevelType w:val="hybridMultilevel"/>
    <w:tmpl w:val="606EEF28"/>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63"/>
    <w:rsid w:val="00030757"/>
    <w:rsid w:val="00051FB3"/>
    <w:rsid w:val="00092C64"/>
    <w:rsid w:val="000B0F4F"/>
    <w:rsid w:val="000C657E"/>
    <w:rsid w:val="000D08A9"/>
    <w:rsid w:val="000D250B"/>
    <w:rsid w:val="001075E8"/>
    <w:rsid w:val="00144C70"/>
    <w:rsid w:val="001840EA"/>
    <w:rsid w:val="0019439C"/>
    <w:rsid w:val="002222CE"/>
    <w:rsid w:val="002446FA"/>
    <w:rsid w:val="00256640"/>
    <w:rsid w:val="00264325"/>
    <w:rsid w:val="002849E1"/>
    <w:rsid w:val="002B2448"/>
    <w:rsid w:val="002D22D6"/>
    <w:rsid w:val="002D5E19"/>
    <w:rsid w:val="002E435F"/>
    <w:rsid w:val="002F7FBD"/>
    <w:rsid w:val="00300127"/>
    <w:rsid w:val="0030019B"/>
    <w:rsid w:val="00320679"/>
    <w:rsid w:val="0034695D"/>
    <w:rsid w:val="00352D2A"/>
    <w:rsid w:val="00374E02"/>
    <w:rsid w:val="003C2D17"/>
    <w:rsid w:val="004259B0"/>
    <w:rsid w:val="004635DE"/>
    <w:rsid w:val="0047149B"/>
    <w:rsid w:val="00494BF9"/>
    <w:rsid w:val="004A582A"/>
    <w:rsid w:val="004C6E09"/>
    <w:rsid w:val="005064EE"/>
    <w:rsid w:val="005127A7"/>
    <w:rsid w:val="005135F9"/>
    <w:rsid w:val="00517900"/>
    <w:rsid w:val="005227FB"/>
    <w:rsid w:val="00522CFE"/>
    <w:rsid w:val="005709FC"/>
    <w:rsid w:val="005B4C8C"/>
    <w:rsid w:val="005D1BDE"/>
    <w:rsid w:val="005D7AE5"/>
    <w:rsid w:val="005E09E9"/>
    <w:rsid w:val="005E4325"/>
    <w:rsid w:val="005F24F6"/>
    <w:rsid w:val="006125CE"/>
    <w:rsid w:val="00613493"/>
    <w:rsid w:val="00654134"/>
    <w:rsid w:val="00663F54"/>
    <w:rsid w:val="00683EB9"/>
    <w:rsid w:val="00684CD5"/>
    <w:rsid w:val="006950F9"/>
    <w:rsid w:val="006A73F2"/>
    <w:rsid w:val="006A7FF5"/>
    <w:rsid w:val="006E25DA"/>
    <w:rsid w:val="006F257D"/>
    <w:rsid w:val="00706092"/>
    <w:rsid w:val="00723C3C"/>
    <w:rsid w:val="007416B4"/>
    <w:rsid w:val="00742AAE"/>
    <w:rsid w:val="00757742"/>
    <w:rsid w:val="007C5EAE"/>
    <w:rsid w:val="007D0FD6"/>
    <w:rsid w:val="007F4F5A"/>
    <w:rsid w:val="00833935"/>
    <w:rsid w:val="0083603C"/>
    <w:rsid w:val="00841BC1"/>
    <w:rsid w:val="00873652"/>
    <w:rsid w:val="00882250"/>
    <w:rsid w:val="00894592"/>
    <w:rsid w:val="008D5605"/>
    <w:rsid w:val="008F0354"/>
    <w:rsid w:val="00902D9D"/>
    <w:rsid w:val="009476F2"/>
    <w:rsid w:val="00962CE0"/>
    <w:rsid w:val="009D5109"/>
    <w:rsid w:val="00A10C63"/>
    <w:rsid w:val="00A32C21"/>
    <w:rsid w:val="00A52B76"/>
    <w:rsid w:val="00A57A25"/>
    <w:rsid w:val="00A8207D"/>
    <w:rsid w:val="00A83781"/>
    <w:rsid w:val="00A85A8B"/>
    <w:rsid w:val="00AE6FC4"/>
    <w:rsid w:val="00AF32B2"/>
    <w:rsid w:val="00B00967"/>
    <w:rsid w:val="00B03B25"/>
    <w:rsid w:val="00B2550B"/>
    <w:rsid w:val="00B43A73"/>
    <w:rsid w:val="00B716E7"/>
    <w:rsid w:val="00B745C4"/>
    <w:rsid w:val="00B8708C"/>
    <w:rsid w:val="00BD4721"/>
    <w:rsid w:val="00BE21D3"/>
    <w:rsid w:val="00BE4CEF"/>
    <w:rsid w:val="00C43225"/>
    <w:rsid w:val="00C52024"/>
    <w:rsid w:val="00CB17D9"/>
    <w:rsid w:val="00CC7823"/>
    <w:rsid w:val="00D26040"/>
    <w:rsid w:val="00D60C41"/>
    <w:rsid w:val="00D81456"/>
    <w:rsid w:val="00DB5CAB"/>
    <w:rsid w:val="00DD5963"/>
    <w:rsid w:val="00DF5957"/>
    <w:rsid w:val="00E60D67"/>
    <w:rsid w:val="00EB52AE"/>
    <w:rsid w:val="00F13668"/>
    <w:rsid w:val="00F31120"/>
    <w:rsid w:val="00F41764"/>
    <w:rsid w:val="00F75F83"/>
    <w:rsid w:val="00F95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D3DC1"/>
  <w15:docId w15:val="{E574D0DF-6A82-4F06-BB67-117A3298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0C41"/>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522CFE"/>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030757"/>
    <w:rPr>
      <w:rFonts w:ascii="Times" w:hAnsi="Times"/>
      <w:b/>
      <w:noProof/>
    </w:rPr>
  </w:style>
  <w:style w:type="character" w:customStyle="1" w:styleId="Titolo2Carattere">
    <w:name w:val="Titolo 2 Carattere"/>
    <w:basedOn w:val="Carpredefinitoparagrafo"/>
    <w:link w:val="Titolo2"/>
    <w:rsid w:val="00030757"/>
    <w:rPr>
      <w:rFonts w:ascii="Times" w:hAnsi="Times"/>
      <w:smallCaps/>
      <w:noProof/>
      <w:sz w:val="18"/>
    </w:rPr>
  </w:style>
  <w:style w:type="character" w:customStyle="1" w:styleId="Titolo3Carattere">
    <w:name w:val="Titolo 3 Carattere"/>
    <w:basedOn w:val="Carpredefinitoparagrafo"/>
    <w:link w:val="Titolo3"/>
    <w:rsid w:val="00030757"/>
    <w:rPr>
      <w:rFonts w:ascii="Times" w:hAnsi="Times"/>
      <w:i/>
      <w:caps/>
      <w:noProof/>
      <w:sz w:val="18"/>
    </w:rPr>
  </w:style>
  <w:style w:type="paragraph" w:styleId="Mappadocumento">
    <w:name w:val="Document Map"/>
    <w:basedOn w:val="Normale"/>
    <w:link w:val="MappadocumentoCarattere"/>
    <w:rsid w:val="006E25DA"/>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rsid w:val="006E25DA"/>
    <w:rPr>
      <w:rFonts w:ascii="Tahoma" w:hAnsi="Tahoma" w:cs="Tahoma"/>
      <w:sz w:val="16"/>
      <w:szCs w:val="16"/>
    </w:rPr>
  </w:style>
  <w:style w:type="character" w:styleId="Rimandocommento">
    <w:name w:val="annotation reference"/>
    <w:basedOn w:val="Carpredefinitoparagrafo"/>
    <w:rsid w:val="00A83781"/>
    <w:rPr>
      <w:sz w:val="16"/>
      <w:szCs w:val="16"/>
    </w:rPr>
  </w:style>
  <w:style w:type="paragraph" w:styleId="Testocommento">
    <w:name w:val="annotation text"/>
    <w:basedOn w:val="Normale"/>
    <w:link w:val="TestocommentoCarattere"/>
    <w:rsid w:val="00A83781"/>
    <w:pPr>
      <w:spacing w:line="240" w:lineRule="auto"/>
    </w:pPr>
  </w:style>
  <w:style w:type="character" w:customStyle="1" w:styleId="TestocommentoCarattere">
    <w:name w:val="Testo commento Carattere"/>
    <w:basedOn w:val="Carpredefinitoparagrafo"/>
    <w:link w:val="Testocommento"/>
    <w:rsid w:val="00A83781"/>
    <w:rPr>
      <w:rFonts w:ascii="Times" w:hAnsi="Times"/>
    </w:rPr>
  </w:style>
  <w:style w:type="paragraph" w:styleId="Soggettocommento">
    <w:name w:val="annotation subject"/>
    <w:basedOn w:val="Testocommento"/>
    <w:next w:val="Testocommento"/>
    <w:link w:val="SoggettocommentoCarattere"/>
    <w:rsid w:val="00A83781"/>
    <w:rPr>
      <w:b/>
      <w:bCs/>
    </w:rPr>
  </w:style>
  <w:style w:type="character" w:customStyle="1" w:styleId="SoggettocommentoCarattere">
    <w:name w:val="Soggetto commento Carattere"/>
    <w:basedOn w:val="TestocommentoCarattere"/>
    <w:link w:val="Soggettocommento"/>
    <w:rsid w:val="00A83781"/>
    <w:rPr>
      <w:rFonts w:ascii="Times" w:hAnsi="Times"/>
      <w:b/>
      <w:bCs/>
    </w:rPr>
  </w:style>
  <w:style w:type="paragraph" w:styleId="Testofumetto">
    <w:name w:val="Balloon Text"/>
    <w:basedOn w:val="Normale"/>
    <w:link w:val="TestofumettoCarattere"/>
    <w:rsid w:val="00A8378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A83781"/>
    <w:rPr>
      <w:rFonts w:ascii="Tahoma" w:hAnsi="Tahoma" w:cs="Tahoma"/>
      <w:sz w:val="16"/>
      <w:szCs w:val="16"/>
    </w:rPr>
  </w:style>
  <w:style w:type="character" w:styleId="Collegamentoipertestuale">
    <w:name w:val="Hyperlink"/>
    <w:rsid w:val="00B25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932079">
      <w:bodyDiv w:val="1"/>
      <w:marLeft w:val="0"/>
      <w:marRight w:val="0"/>
      <w:marTop w:val="0"/>
      <w:marBottom w:val="0"/>
      <w:divBdr>
        <w:top w:val="none" w:sz="0" w:space="0" w:color="auto"/>
        <w:left w:val="none" w:sz="0" w:space="0" w:color="auto"/>
        <w:bottom w:val="none" w:sz="0" w:space="0" w:color="auto"/>
        <w:right w:val="none" w:sz="0" w:space="0" w:color="auto"/>
      </w:divBdr>
    </w:div>
    <w:div w:id="125655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017C1-1673-4B54-AF87-3DF58C7F0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8C9134-872E-4528-98A0-274DE38ED0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AE8E6-17CC-404E-B2DE-F7D40C8C9E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318</TotalTime>
  <Pages>3</Pages>
  <Words>590</Words>
  <Characters>3509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34</vt:lpstr>
    </vt:vector>
  </TitlesOfParts>
  <Company>U.C.S.C. MILANO</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dc:title>
  <dc:creator>paola.fiori</dc:creator>
  <cp:lastModifiedBy>Piccolini Luisella</cp:lastModifiedBy>
  <cp:revision>22</cp:revision>
  <cp:lastPrinted>2019-06-06T14:14:00Z</cp:lastPrinted>
  <dcterms:created xsi:type="dcterms:W3CDTF">2021-07-07T11:04:00Z</dcterms:created>
  <dcterms:modified xsi:type="dcterms:W3CDTF">2022-07-25T07:59:00Z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