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93998" w14:textId="77777777" w:rsidR="00607212" w:rsidRDefault="00643FD0">
      <w:pPr>
        <w:pStyle w:val="Titolo1"/>
      </w:pPr>
      <w:r>
        <w:t>.- Soil Chemistry</w:t>
      </w:r>
    </w:p>
    <w:p w14:paraId="11F33C23" w14:textId="77777777" w:rsidR="00607212" w:rsidRDefault="00643FD0">
      <w:pPr>
        <w:pStyle w:val="Titolo2"/>
      </w:pPr>
      <w:r>
        <w:t>Prof. Gian Maria Beone</w:t>
      </w:r>
    </w:p>
    <w:p w14:paraId="5870B3FA" w14:textId="77777777" w:rsidR="00607212" w:rsidRDefault="00643FD0">
      <w:pPr>
        <w:pStyle w:val="Titolo3"/>
        <w:rPr>
          <w:b/>
          <w:i w:val="0"/>
          <w:caps w:val="0"/>
        </w:rPr>
      </w:pPr>
      <w:r>
        <w:rPr>
          <w:b/>
        </w:rPr>
        <w:t>COURSE AIMS AND INTENDED LEARNING OUTCOMES</w:t>
      </w:r>
    </w:p>
    <w:p w14:paraId="0A03895C" w14:textId="6FF6AB03" w:rsidR="00607212" w:rsidRDefault="00643FD0">
      <w:r>
        <w:t>The aim of the course is to provide students with the basic knowledge of soil genesis, the chemistry of organic and inorganic components and their interactions, the cycles of nutrient elements, and the use of fertilisers. The ability to apply knowledge and</w:t>
      </w:r>
      <w:r>
        <w:t xml:space="preserve"> understanding is also developed through group tutorials held in the laboratory and in the field. At the end of the course, students will know the general principles of the chemical, biological and physical processes taking place in the soil system. This k</w:t>
      </w:r>
      <w:r>
        <w:t>nowledge is the basis for understanding the complex dynamics of soil formation, its evolution, and the ability to allow the development of plants for productive purposes. Another important course aim is to equip students with a mastery of the subject's sci</w:t>
      </w:r>
      <w:r>
        <w:t>entific language, and to teach them how to autonomously interpret a soil analysis and, subsequently, establish how to improve the soil's productive characteristics. Students will learn the theoretical bases for further in-depth</w:t>
      </w:r>
      <w:r>
        <w:t xml:space="preserve"> study on the topics covered </w:t>
      </w:r>
      <w:r>
        <w:t>in the course, through the self-consultation of specialised texts, and scientific and educational journals.</w:t>
      </w:r>
    </w:p>
    <w:p w14:paraId="78623BBC" w14:textId="77777777" w:rsidR="00607212" w:rsidRDefault="00643FD0">
      <w:pPr>
        <w:spacing w:before="240" w:after="120"/>
        <w:rPr>
          <w:b/>
          <w:sz w:val="18"/>
        </w:rPr>
      </w:pPr>
      <w:r>
        <w:rPr>
          <w:b/>
          <w:i/>
          <w:sz w:val="18"/>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1"/>
        <w:gridCol w:w="1119"/>
      </w:tblGrid>
      <w:tr w:rsidR="00607212" w14:paraId="7244CA36" w14:textId="77777777">
        <w:tc>
          <w:tcPr>
            <w:tcW w:w="5571" w:type="dxa"/>
            <w:shd w:val="clear" w:color="auto" w:fill="auto"/>
          </w:tcPr>
          <w:p w14:paraId="6B9A8445" w14:textId="77777777" w:rsidR="00607212" w:rsidRDefault="00607212">
            <w:pPr>
              <w:rPr>
                <w:rFonts w:cs="Times"/>
                <w:sz w:val="18"/>
              </w:rPr>
            </w:pPr>
          </w:p>
        </w:tc>
        <w:tc>
          <w:tcPr>
            <w:tcW w:w="1119" w:type="dxa"/>
            <w:shd w:val="clear" w:color="auto" w:fill="auto"/>
          </w:tcPr>
          <w:p w14:paraId="21D13757" w14:textId="77777777" w:rsidR="00607212" w:rsidRDefault="00643FD0">
            <w:pPr>
              <w:rPr>
                <w:rFonts w:cs="Times"/>
                <w:sz w:val="18"/>
              </w:rPr>
            </w:pPr>
            <w:r>
              <w:rPr>
                <w:rFonts w:cs="Times"/>
                <w:sz w:val="18"/>
              </w:rPr>
              <w:t>ECTS</w:t>
            </w:r>
          </w:p>
        </w:tc>
      </w:tr>
      <w:tr w:rsidR="00607212" w14:paraId="14C80D15" w14:textId="77777777">
        <w:tc>
          <w:tcPr>
            <w:tcW w:w="5571" w:type="dxa"/>
            <w:shd w:val="clear" w:color="auto" w:fill="auto"/>
          </w:tcPr>
          <w:p w14:paraId="540E7001" w14:textId="1109B3C7" w:rsidR="00607212" w:rsidRDefault="00643FD0">
            <w:pPr>
              <w:rPr>
                <w:rFonts w:cs="Times"/>
                <w:b/>
                <w:sz w:val="18"/>
              </w:rPr>
            </w:pPr>
            <w:r>
              <w:rPr>
                <w:rFonts w:cs="Times"/>
                <w:b/>
                <w:sz w:val="18"/>
              </w:rPr>
              <w:t xml:space="preserve">Soil system </w:t>
            </w:r>
          </w:p>
        </w:tc>
        <w:tc>
          <w:tcPr>
            <w:tcW w:w="1119" w:type="dxa"/>
            <w:shd w:val="clear" w:color="auto" w:fill="auto"/>
          </w:tcPr>
          <w:p w14:paraId="48EBAFE7" w14:textId="77777777" w:rsidR="00607212" w:rsidRDefault="00607212">
            <w:pPr>
              <w:rPr>
                <w:rFonts w:cs="Times"/>
                <w:sz w:val="18"/>
              </w:rPr>
            </w:pPr>
          </w:p>
        </w:tc>
      </w:tr>
      <w:tr w:rsidR="00607212" w14:paraId="62A0B7AC" w14:textId="77777777">
        <w:tc>
          <w:tcPr>
            <w:tcW w:w="5571" w:type="dxa"/>
            <w:shd w:val="clear" w:color="auto" w:fill="auto"/>
          </w:tcPr>
          <w:p w14:paraId="59AAA223" w14:textId="53727BC9" w:rsidR="00607212" w:rsidRDefault="00643FD0">
            <w:pPr>
              <w:ind w:left="180"/>
              <w:rPr>
                <w:rFonts w:cs="Times"/>
                <w:sz w:val="18"/>
              </w:rPr>
            </w:pPr>
            <w:r>
              <w:rPr>
                <w:rFonts w:cs="Times"/>
                <w:sz w:val="18"/>
              </w:rPr>
              <w:t>The main elements of the earth's crust. The rocks: classification, genesis, processes of disintegration and dec</w:t>
            </w:r>
            <w:r>
              <w:rPr>
                <w:rFonts w:cs="Times"/>
                <w:sz w:val="18"/>
              </w:rPr>
              <w:t>omposition. Soil profile and its diagnostic horizons. Factors of pedogenesis and Jenny's equation. Application of the reading keys for Soil – Taxonomy and World Reference Base. Grain size and texture. Soil structure.</w:t>
            </w:r>
          </w:p>
        </w:tc>
        <w:tc>
          <w:tcPr>
            <w:tcW w:w="1119" w:type="dxa"/>
            <w:shd w:val="clear" w:color="auto" w:fill="auto"/>
          </w:tcPr>
          <w:p w14:paraId="021B0BCF" w14:textId="0B79BE37" w:rsidR="00607212" w:rsidRDefault="00643FD0">
            <w:pPr>
              <w:rPr>
                <w:rFonts w:cs="Times"/>
                <w:sz w:val="18"/>
              </w:rPr>
            </w:pPr>
            <w:r>
              <w:rPr>
                <w:rFonts w:cs="Times"/>
                <w:sz w:val="18"/>
              </w:rPr>
              <w:t>1.25</w:t>
            </w:r>
          </w:p>
        </w:tc>
      </w:tr>
      <w:tr w:rsidR="00607212" w14:paraId="55D97246" w14:textId="77777777">
        <w:tc>
          <w:tcPr>
            <w:tcW w:w="5571" w:type="dxa"/>
            <w:tcBorders>
              <w:bottom w:val="single" w:sz="4" w:space="0" w:color="auto"/>
            </w:tcBorders>
            <w:shd w:val="clear" w:color="auto" w:fill="auto"/>
          </w:tcPr>
          <w:p w14:paraId="4AB33986" w14:textId="592F6538" w:rsidR="00607212" w:rsidRDefault="00643FD0">
            <w:pPr>
              <w:rPr>
                <w:rFonts w:cs="Times"/>
                <w:b/>
                <w:sz w:val="18"/>
              </w:rPr>
            </w:pPr>
            <w:r>
              <w:rPr>
                <w:rFonts w:cs="Times"/>
                <w:b/>
                <w:sz w:val="18"/>
              </w:rPr>
              <w:t>Chemistry of silicon and clays</w:t>
            </w:r>
          </w:p>
        </w:tc>
        <w:tc>
          <w:tcPr>
            <w:tcW w:w="1119" w:type="dxa"/>
            <w:tcBorders>
              <w:bottom w:val="single" w:sz="4" w:space="0" w:color="auto"/>
            </w:tcBorders>
            <w:shd w:val="clear" w:color="auto" w:fill="auto"/>
          </w:tcPr>
          <w:p w14:paraId="58B293B5" w14:textId="77777777" w:rsidR="00607212" w:rsidRDefault="00607212">
            <w:pPr>
              <w:rPr>
                <w:rFonts w:cs="Times"/>
                <w:sz w:val="18"/>
              </w:rPr>
            </w:pPr>
          </w:p>
        </w:tc>
      </w:tr>
      <w:tr w:rsidR="00607212" w14:paraId="1E84CE6D" w14:textId="77777777">
        <w:tc>
          <w:tcPr>
            <w:tcW w:w="5571" w:type="dxa"/>
            <w:tcBorders>
              <w:top w:val="single" w:sz="4" w:space="0" w:color="auto"/>
              <w:bottom w:val="nil"/>
            </w:tcBorders>
            <w:shd w:val="clear" w:color="auto" w:fill="auto"/>
          </w:tcPr>
          <w:p w14:paraId="1201DA5F" w14:textId="22E5AD64" w:rsidR="00607212" w:rsidRDefault="00643FD0">
            <w:pPr>
              <w:ind w:left="180"/>
              <w:rPr>
                <w:rFonts w:cs="Times"/>
                <w:sz w:val="18"/>
              </w:rPr>
            </w:pPr>
            <w:r>
              <w:rPr>
                <w:rFonts w:cs="Times"/>
                <w:sz w:val="18"/>
              </w:rPr>
              <w:t>The classification of silicates. Primary and secondary phyllosilicates. Genesis of clays. Physical-chemical properties of the soil: colloidal state, electrical charge, specific surface and surface charge density.</w:t>
            </w:r>
          </w:p>
        </w:tc>
        <w:tc>
          <w:tcPr>
            <w:tcW w:w="1119" w:type="dxa"/>
            <w:tcBorders>
              <w:top w:val="single" w:sz="4" w:space="0" w:color="auto"/>
              <w:bottom w:val="nil"/>
            </w:tcBorders>
            <w:shd w:val="clear" w:color="auto" w:fill="auto"/>
          </w:tcPr>
          <w:p w14:paraId="6C233A69" w14:textId="3A9B7A57" w:rsidR="00607212" w:rsidRDefault="00643FD0">
            <w:pPr>
              <w:rPr>
                <w:rFonts w:cs="Times"/>
                <w:sz w:val="18"/>
              </w:rPr>
            </w:pPr>
            <w:r>
              <w:rPr>
                <w:rFonts w:cs="Times"/>
                <w:sz w:val="18"/>
              </w:rPr>
              <w:t>0.75</w:t>
            </w:r>
          </w:p>
        </w:tc>
      </w:tr>
      <w:tr w:rsidR="00607212" w14:paraId="7CB297BB" w14:textId="77777777">
        <w:tc>
          <w:tcPr>
            <w:tcW w:w="5571" w:type="dxa"/>
            <w:tcBorders>
              <w:top w:val="single" w:sz="4" w:space="0" w:color="auto"/>
              <w:bottom w:val="single" w:sz="4" w:space="0" w:color="auto"/>
              <w:right w:val="nil"/>
            </w:tcBorders>
            <w:shd w:val="clear" w:color="auto" w:fill="auto"/>
          </w:tcPr>
          <w:p w14:paraId="286AAFCD" w14:textId="77777777" w:rsidR="00607212" w:rsidRDefault="00643FD0">
            <w:pPr>
              <w:rPr>
                <w:rFonts w:cs="Times"/>
                <w:b/>
                <w:sz w:val="18"/>
              </w:rPr>
            </w:pPr>
            <w:r>
              <w:rPr>
                <w:rFonts w:cs="Times"/>
                <w:b/>
                <w:sz w:val="18"/>
              </w:rPr>
              <w:t xml:space="preserve">Organic matter </w:t>
            </w:r>
          </w:p>
        </w:tc>
        <w:tc>
          <w:tcPr>
            <w:tcW w:w="1119" w:type="dxa"/>
            <w:tcBorders>
              <w:top w:val="single" w:sz="4" w:space="0" w:color="auto"/>
              <w:left w:val="nil"/>
              <w:bottom w:val="single" w:sz="4" w:space="0" w:color="auto"/>
            </w:tcBorders>
            <w:shd w:val="clear" w:color="auto" w:fill="auto"/>
          </w:tcPr>
          <w:p w14:paraId="1FE704DF" w14:textId="77777777" w:rsidR="00607212" w:rsidRDefault="00607212">
            <w:pPr>
              <w:rPr>
                <w:rFonts w:cs="Times"/>
                <w:b/>
                <w:sz w:val="18"/>
              </w:rPr>
            </w:pPr>
          </w:p>
        </w:tc>
      </w:tr>
      <w:tr w:rsidR="00607212" w14:paraId="4800AE3C" w14:textId="77777777">
        <w:tc>
          <w:tcPr>
            <w:tcW w:w="5571" w:type="dxa"/>
            <w:tcBorders>
              <w:top w:val="single" w:sz="4" w:space="0" w:color="auto"/>
              <w:bottom w:val="single" w:sz="4" w:space="0" w:color="auto"/>
              <w:right w:val="nil"/>
            </w:tcBorders>
            <w:shd w:val="clear" w:color="auto" w:fill="auto"/>
          </w:tcPr>
          <w:p w14:paraId="6A73CE07" w14:textId="213E84FA" w:rsidR="00607212" w:rsidRDefault="00643FD0">
            <w:pPr>
              <w:ind w:left="180"/>
              <w:rPr>
                <w:rFonts w:cs="Times"/>
                <w:sz w:val="18"/>
              </w:rPr>
            </w:pPr>
            <w:r>
              <w:rPr>
                <w:rFonts w:cs="Times"/>
                <w:sz w:val="18"/>
              </w:rPr>
              <w:t>Classification, characterisation and role of organic matter. Humic substances: chemical structure, genesis and characterisation.</w:t>
            </w:r>
          </w:p>
        </w:tc>
        <w:tc>
          <w:tcPr>
            <w:tcW w:w="1119" w:type="dxa"/>
            <w:tcBorders>
              <w:top w:val="single" w:sz="4" w:space="0" w:color="auto"/>
              <w:left w:val="nil"/>
              <w:bottom w:val="single" w:sz="4" w:space="0" w:color="auto"/>
            </w:tcBorders>
            <w:shd w:val="clear" w:color="auto" w:fill="auto"/>
          </w:tcPr>
          <w:p w14:paraId="77B3CE5D" w14:textId="024A5FD9" w:rsidR="00607212" w:rsidRDefault="00643FD0">
            <w:pPr>
              <w:rPr>
                <w:rFonts w:cs="Times"/>
                <w:sz w:val="18"/>
              </w:rPr>
            </w:pPr>
            <w:r>
              <w:rPr>
                <w:rFonts w:cs="Times"/>
                <w:sz w:val="18"/>
              </w:rPr>
              <w:t>0.75</w:t>
            </w:r>
          </w:p>
        </w:tc>
      </w:tr>
      <w:tr w:rsidR="00607212" w14:paraId="2B73450C" w14:textId="77777777">
        <w:tc>
          <w:tcPr>
            <w:tcW w:w="5571" w:type="dxa"/>
            <w:tcBorders>
              <w:top w:val="single" w:sz="4" w:space="0" w:color="auto"/>
              <w:bottom w:val="single" w:sz="4" w:space="0" w:color="auto"/>
              <w:right w:val="nil"/>
            </w:tcBorders>
            <w:shd w:val="clear" w:color="auto" w:fill="auto"/>
          </w:tcPr>
          <w:p w14:paraId="5D2915BA" w14:textId="77777777" w:rsidR="00607212" w:rsidRDefault="00643FD0">
            <w:pPr>
              <w:rPr>
                <w:rFonts w:cs="Times"/>
                <w:b/>
                <w:sz w:val="18"/>
              </w:rPr>
            </w:pPr>
            <w:r>
              <w:rPr>
                <w:rFonts w:cs="Times"/>
                <w:b/>
                <w:sz w:val="18"/>
              </w:rPr>
              <w:t xml:space="preserve">Adsorption and ion exchange </w:t>
            </w:r>
          </w:p>
        </w:tc>
        <w:tc>
          <w:tcPr>
            <w:tcW w:w="1119" w:type="dxa"/>
            <w:tcBorders>
              <w:top w:val="single" w:sz="4" w:space="0" w:color="auto"/>
              <w:left w:val="nil"/>
              <w:bottom w:val="single" w:sz="4" w:space="0" w:color="auto"/>
            </w:tcBorders>
            <w:shd w:val="clear" w:color="auto" w:fill="auto"/>
          </w:tcPr>
          <w:p w14:paraId="0C3369EC" w14:textId="77777777" w:rsidR="00607212" w:rsidRDefault="00607212">
            <w:pPr>
              <w:rPr>
                <w:rFonts w:cs="Times"/>
                <w:b/>
                <w:sz w:val="18"/>
              </w:rPr>
            </w:pPr>
          </w:p>
        </w:tc>
      </w:tr>
      <w:tr w:rsidR="00607212" w14:paraId="0659EC3C" w14:textId="77777777">
        <w:tc>
          <w:tcPr>
            <w:tcW w:w="5571" w:type="dxa"/>
            <w:tcBorders>
              <w:top w:val="single" w:sz="4" w:space="0" w:color="auto"/>
              <w:bottom w:val="single" w:sz="4" w:space="0" w:color="auto"/>
              <w:right w:val="nil"/>
            </w:tcBorders>
            <w:shd w:val="clear" w:color="auto" w:fill="auto"/>
          </w:tcPr>
          <w:p w14:paraId="4D0FE1A0" w14:textId="05B3F654" w:rsidR="00607212" w:rsidRDefault="00643FD0">
            <w:pPr>
              <w:ind w:left="180"/>
              <w:rPr>
                <w:rFonts w:cs="Times"/>
                <w:sz w:val="18"/>
              </w:rPr>
            </w:pPr>
            <w:r>
              <w:rPr>
                <w:rFonts w:cs="Times"/>
                <w:sz w:val="18"/>
              </w:rPr>
              <w:lastRenderedPageBreak/>
              <w:t>Physical models of adsorption and exchange reactions. Cation adsorption: effect of valence</w:t>
            </w:r>
            <w:r>
              <w:rPr>
                <w:rFonts w:cs="Times"/>
                <w:sz w:val="18"/>
              </w:rPr>
              <w:t>, dilution and selectivity. Anionic adsorption: specific and non-specific adsorption. Freundlich isotherm.</w:t>
            </w:r>
          </w:p>
        </w:tc>
        <w:tc>
          <w:tcPr>
            <w:tcW w:w="1119" w:type="dxa"/>
            <w:tcBorders>
              <w:top w:val="single" w:sz="4" w:space="0" w:color="auto"/>
              <w:left w:val="nil"/>
              <w:bottom w:val="single" w:sz="4" w:space="0" w:color="auto"/>
            </w:tcBorders>
            <w:shd w:val="clear" w:color="auto" w:fill="auto"/>
          </w:tcPr>
          <w:p w14:paraId="754F82CD" w14:textId="77777777" w:rsidR="00607212" w:rsidRDefault="00643FD0">
            <w:pPr>
              <w:rPr>
                <w:rFonts w:cs="Times"/>
                <w:sz w:val="18"/>
              </w:rPr>
            </w:pPr>
            <w:r>
              <w:rPr>
                <w:rFonts w:cs="Times"/>
                <w:sz w:val="18"/>
              </w:rPr>
              <w:t>0.5</w:t>
            </w:r>
          </w:p>
        </w:tc>
      </w:tr>
      <w:tr w:rsidR="00607212" w14:paraId="2EC0996F" w14:textId="77777777">
        <w:tc>
          <w:tcPr>
            <w:tcW w:w="5571" w:type="dxa"/>
            <w:tcBorders>
              <w:top w:val="single" w:sz="4" w:space="0" w:color="auto"/>
              <w:bottom w:val="single" w:sz="4" w:space="0" w:color="auto"/>
              <w:right w:val="nil"/>
            </w:tcBorders>
            <w:shd w:val="clear" w:color="auto" w:fill="auto"/>
          </w:tcPr>
          <w:p w14:paraId="42C873B7" w14:textId="6E19ACB6" w:rsidR="00607212" w:rsidRDefault="00643FD0">
            <w:pPr>
              <w:rPr>
                <w:rFonts w:cs="Times"/>
                <w:b/>
                <w:sz w:val="18"/>
              </w:rPr>
            </w:pPr>
            <w:r>
              <w:rPr>
                <w:rFonts w:cs="Times"/>
                <w:b/>
                <w:sz w:val="18"/>
              </w:rPr>
              <w:t xml:space="preserve">Liquid and gaseous phases of the soil </w:t>
            </w:r>
          </w:p>
        </w:tc>
        <w:tc>
          <w:tcPr>
            <w:tcW w:w="1119" w:type="dxa"/>
            <w:tcBorders>
              <w:top w:val="single" w:sz="4" w:space="0" w:color="auto"/>
              <w:left w:val="nil"/>
              <w:bottom w:val="single" w:sz="4" w:space="0" w:color="auto"/>
            </w:tcBorders>
            <w:shd w:val="clear" w:color="auto" w:fill="auto"/>
          </w:tcPr>
          <w:p w14:paraId="1F0C1CFB" w14:textId="77777777" w:rsidR="00607212" w:rsidRDefault="00607212">
            <w:pPr>
              <w:rPr>
                <w:rFonts w:cs="Times"/>
                <w:b/>
                <w:sz w:val="18"/>
              </w:rPr>
            </w:pPr>
          </w:p>
        </w:tc>
      </w:tr>
      <w:tr w:rsidR="00607212" w14:paraId="3F1700C3" w14:textId="77777777">
        <w:tc>
          <w:tcPr>
            <w:tcW w:w="5571" w:type="dxa"/>
            <w:tcBorders>
              <w:top w:val="single" w:sz="4" w:space="0" w:color="auto"/>
              <w:bottom w:val="single" w:sz="4" w:space="0" w:color="auto"/>
              <w:right w:val="nil"/>
            </w:tcBorders>
            <w:shd w:val="clear" w:color="auto" w:fill="auto"/>
          </w:tcPr>
          <w:p w14:paraId="2DCAFF68" w14:textId="6BD51A1E" w:rsidR="00607212" w:rsidRDefault="00643FD0">
            <w:pPr>
              <w:ind w:left="180"/>
              <w:rPr>
                <w:rFonts w:cs="Times"/>
                <w:sz w:val="18"/>
              </w:rPr>
            </w:pPr>
            <w:r>
              <w:rPr>
                <w:rFonts w:cs="Times"/>
                <w:sz w:val="18"/>
              </w:rPr>
              <w:t>Soil water. Degree of reaction and DBS (degree of base saturation). The buffering power of the soil. Re</w:t>
            </w:r>
            <w:r>
              <w:rPr>
                <w:rFonts w:cs="Times"/>
                <w:sz w:val="18"/>
              </w:rPr>
              <w:t>dox potential and composition of telluric air. Irrigation water.</w:t>
            </w:r>
          </w:p>
        </w:tc>
        <w:tc>
          <w:tcPr>
            <w:tcW w:w="1119" w:type="dxa"/>
            <w:tcBorders>
              <w:top w:val="single" w:sz="4" w:space="0" w:color="auto"/>
              <w:left w:val="nil"/>
              <w:bottom w:val="single" w:sz="4" w:space="0" w:color="auto"/>
            </w:tcBorders>
            <w:shd w:val="clear" w:color="auto" w:fill="auto"/>
          </w:tcPr>
          <w:p w14:paraId="5FB50894" w14:textId="77777777" w:rsidR="00607212" w:rsidRDefault="00643FD0">
            <w:pPr>
              <w:rPr>
                <w:rFonts w:cs="Times"/>
                <w:sz w:val="18"/>
              </w:rPr>
            </w:pPr>
            <w:r>
              <w:rPr>
                <w:rFonts w:cs="Times"/>
                <w:sz w:val="18"/>
              </w:rPr>
              <w:t>0.5</w:t>
            </w:r>
          </w:p>
        </w:tc>
      </w:tr>
      <w:tr w:rsidR="00607212" w14:paraId="25A29B77" w14:textId="77777777">
        <w:tc>
          <w:tcPr>
            <w:tcW w:w="5571" w:type="dxa"/>
            <w:tcBorders>
              <w:top w:val="single" w:sz="4" w:space="0" w:color="auto"/>
              <w:bottom w:val="single" w:sz="4" w:space="0" w:color="auto"/>
              <w:right w:val="nil"/>
            </w:tcBorders>
            <w:shd w:val="clear" w:color="auto" w:fill="auto"/>
          </w:tcPr>
          <w:p w14:paraId="3EAEFB33" w14:textId="2AA88C17" w:rsidR="00607212" w:rsidRDefault="00643FD0">
            <w:pPr>
              <w:rPr>
                <w:rFonts w:cs="Times"/>
                <w:b/>
                <w:sz w:val="18"/>
              </w:rPr>
            </w:pPr>
            <w:r>
              <w:rPr>
                <w:rFonts w:cs="Times"/>
                <w:b/>
                <w:sz w:val="18"/>
              </w:rPr>
              <w:t xml:space="preserve">Particular soils </w:t>
            </w:r>
          </w:p>
        </w:tc>
        <w:tc>
          <w:tcPr>
            <w:tcW w:w="1119" w:type="dxa"/>
            <w:tcBorders>
              <w:top w:val="single" w:sz="4" w:space="0" w:color="auto"/>
              <w:left w:val="nil"/>
              <w:bottom w:val="single" w:sz="4" w:space="0" w:color="auto"/>
            </w:tcBorders>
            <w:shd w:val="clear" w:color="auto" w:fill="auto"/>
          </w:tcPr>
          <w:p w14:paraId="59E79DEE" w14:textId="77777777" w:rsidR="00607212" w:rsidRDefault="00607212">
            <w:pPr>
              <w:rPr>
                <w:rFonts w:cs="Times"/>
                <w:b/>
                <w:sz w:val="18"/>
              </w:rPr>
            </w:pPr>
          </w:p>
        </w:tc>
      </w:tr>
      <w:tr w:rsidR="00607212" w14:paraId="128C5C6E" w14:textId="77777777">
        <w:tc>
          <w:tcPr>
            <w:tcW w:w="5571" w:type="dxa"/>
            <w:tcBorders>
              <w:top w:val="single" w:sz="4" w:space="0" w:color="auto"/>
              <w:bottom w:val="single" w:sz="4" w:space="0" w:color="auto"/>
              <w:right w:val="nil"/>
            </w:tcBorders>
            <w:shd w:val="clear" w:color="auto" w:fill="auto"/>
          </w:tcPr>
          <w:p w14:paraId="6A32DC33" w14:textId="4571F455" w:rsidR="00607212" w:rsidRDefault="00643FD0">
            <w:pPr>
              <w:ind w:left="180"/>
              <w:rPr>
                <w:rFonts w:cs="Times"/>
                <w:sz w:val="18"/>
              </w:rPr>
            </w:pPr>
            <w:r>
              <w:rPr>
                <w:rFonts w:cs="Times"/>
                <w:sz w:val="18"/>
              </w:rPr>
              <w:t xml:space="preserve">Management and correction of acidic and halomorphic soils. Submerged soils. </w:t>
            </w:r>
          </w:p>
        </w:tc>
        <w:tc>
          <w:tcPr>
            <w:tcW w:w="1119" w:type="dxa"/>
            <w:tcBorders>
              <w:top w:val="single" w:sz="4" w:space="0" w:color="auto"/>
              <w:left w:val="nil"/>
              <w:bottom w:val="single" w:sz="4" w:space="0" w:color="auto"/>
            </w:tcBorders>
            <w:shd w:val="clear" w:color="auto" w:fill="auto"/>
          </w:tcPr>
          <w:p w14:paraId="3C3684AB" w14:textId="77777777" w:rsidR="00607212" w:rsidRDefault="00643FD0">
            <w:pPr>
              <w:rPr>
                <w:rFonts w:cs="Times"/>
                <w:sz w:val="18"/>
              </w:rPr>
            </w:pPr>
            <w:r>
              <w:rPr>
                <w:rFonts w:cs="Times"/>
                <w:sz w:val="18"/>
              </w:rPr>
              <w:t>0.5</w:t>
            </w:r>
          </w:p>
        </w:tc>
      </w:tr>
      <w:tr w:rsidR="00607212" w14:paraId="30D5C036" w14:textId="77777777">
        <w:tc>
          <w:tcPr>
            <w:tcW w:w="5571" w:type="dxa"/>
            <w:tcBorders>
              <w:top w:val="single" w:sz="4" w:space="0" w:color="auto"/>
              <w:bottom w:val="single" w:sz="4" w:space="0" w:color="auto"/>
              <w:right w:val="nil"/>
            </w:tcBorders>
            <w:shd w:val="clear" w:color="auto" w:fill="auto"/>
          </w:tcPr>
          <w:p w14:paraId="7085215D" w14:textId="68F78D70" w:rsidR="00607212" w:rsidRDefault="00643FD0">
            <w:pPr>
              <w:rPr>
                <w:rFonts w:cs="Times"/>
                <w:b/>
                <w:sz w:val="18"/>
              </w:rPr>
            </w:pPr>
            <w:r>
              <w:rPr>
                <w:rFonts w:cs="Times"/>
                <w:b/>
                <w:sz w:val="18"/>
              </w:rPr>
              <w:t>Elements of fertility and fertilisation</w:t>
            </w:r>
          </w:p>
        </w:tc>
        <w:tc>
          <w:tcPr>
            <w:tcW w:w="1119" w:type="dxa"/>
            <w:tcBorders>
              <w:top w:val="single" w:sz="4" w:space="0" w:color="auto"/>
              <w:left w:val="nil"/>
              <w:bottom w:val="single" w:sz="4" w:space="0" w:color="auto"/>
            </w:tcBorders>
            <w:shd w:val="clear" w:color="auto" w:fill="auto"/>
          </w:tcPr>
          <w:p w14:paraId="3E5DD589" w14:textId="77777777" w:rsidR="00607212" w:rsidRDefault="00607212">
            <w:pPr>
              <w:rPr>
                <w:rFonts w:cs="Times"/>
                <w:b/>
                <w:sz w:val="18"/>
              </w:rPr>
            </w:pPr>
          </w:p>
        </w:tc>
      </w:tr>
      <w:tr w:rsidR="00607212" w14:paraId="176DE229" w14:textId="77777777">
        <w:tc>
          <w:tcPr>
            <w:tcW w:w="5571" w:type="dxa"/>
            <w:tcBorders>
              <w:top w:val="single" w:sz="4" w:space="0" w:color="auto"/>
              <w:bottom w:val="single" w:sz="4" w:space="0" w:color="auto"/>
              <w:right w:val="nil"/>
            </w:tcBorders>
            <w:shd w:val="clear" w:color="auto" w:fill="auto"/>
          </w:tcPr>
          <w:p w14:paraId="133BB07C" w14:textId="4848FFA8" w:rsidR="00607212" w:rsidRDefault="00643FD0">
            <w:pPr>
              <w:ind w:left="180"/>
              <w:rPr>
                <w:rFonts w:cs="Times"/>
                <w:sz w:val="18"/>
              </w:rPr>
            </w:pPr>
            <w:r>
              <w:rPr>
                <w:rFonts w:cs="Times"/>
                <w:sz w:val="18"/>
              </w:rPr>
              <w:t>Principal elements, secondary elements and microelements of fertility. The phosphorus, nitrogen, potassium, sulphur and calcium cycles. Fertilisers: classification and titles. Nitrogen, phosphate and potassium fertilisers.</w:t>
            </w:r>
          </w:p>
        </w:tc>
        <w:tc>
          <w:tcPr>
            <w:tcW w:w="1119" w:type="dxa"/>
            <w:tcBorders>
              <w:top w:val="single" w:sz="4" w:space="0" w:color="auto"/>
              <w:left w:val="nil"/>
              <w:bottom w:val="single" w:sz="4" w:space="0" w:color="auto"/>
            </w:tcBorders>
            <w:shd w:val="clear" w:color="auto" w:fill="auto"/>
          </w:tcPr>
          <w:p w14:paraId="73EE48DB" w14:textId="52A5CC90" w:rsidR="00607212" w:rsidRDefault="00643FD0">
            <w:pPr>
              <w:rPr>
                <w:rFonts w:cs="Times"/>
                <w:sz w:val="18"/>
              </w:rPr>
            </w:pPr>
            <w:r>
              <w:rPr>
                <w:rFonts w:cs="Times"/>
                <w:sz w:val="18"/>
              </w:rPr>
              <w:t>0.75</w:t>
            </w:r>
          </w:p>
        </w:tc>
      </w:tr>
      <w:tr w:rsidR="00607212" w14:paraId="3A72F772" w14:textId="77777777">
        <w:tc>
          <w:tcPr>
            <w:tcW w:w="5571" w:type="dxa"/>
            <w:tcBorders>
              <w:top w:val="single" w:sz="4" w:space="0" w:color="auto"/>
              <w:bottom w:val="single" w:sz="4" w:space="0" w:color="auto"/>
              <w:right w:val="nil"/>
            </w:tcBorders>
            <w:shd w:val="clear" w:color="auto" w:fill="auto"/>
          </w:tcPr>
          <w:p w14:paraId="0380BF5E" w14:textId="6CCF2F5E" w:rsidR="00607212" w:rsidRDefault="00643FD0">
            <w:pPr>
              <w:rPr>
                <w:rFonts w:cs="Times"/>
                <w:b/>
                <w:sz w:val="18"/>
              </w:rPr>
            </w:pPr>
            <w:r>
              <w:rPr>
                <w:rFonts w:cs="Times"/>
                <w:b/>
                <w:sz w:val="18"/>
              </w:rPr>
              <w:t>Classroom, laboratory and f</w:t>
            </w:r>
            <w:r>
              <w:rPr>
                <w:rFonts w:cs="Times"/>
                <w:b/>
                <w:sz w:val="18"/>
              </w:rPr>
              <w:t>ield tutorials</w:t>
            </w:r>
          </w:p>
        </w:tc>
        <w:tc>
          <w:tcPr>
            <w:tcW w:w="1119" w:type="dxa"/>
            <w:tcBorders>
              <w:top w:val="single" w:sz="4" w:space="0" w:color="auto"/>
              <w:left w:val="nil"/>
              <w:bottom w:val="single" w:sz="4" w:space="0" w:color="auto"/>
            </w:tcBorders>
            <w:shd w:val="clear" w:color="auto" w:fill="auto"/>
          </w:tcPr>
          <w:p w14:paraId="7D3A238E" w14:textId="77777777" w:rsidR="00607212" w:rsidRDefault="00607212">
            <w:pPr>
              <w:rPr>
                <w:rFonts w:cs="Times"/>
                <w:b/>
                <w:sz w:val="18"/>
              </w:rPr>
            </w:pPr>
          </w:p>
        </w:tc>
      </w:tr>
      <w:tr w:rsidR="00607212" w14:paraId="3FC20781" w14:textId="77777777">
        <w:tc>
          <w:tcPr>
            <w:tcW w:w="5571" w:type="dxa"/>
            <w:tcBorders>
              <w:top w:val="single" w:sz="4" w:space="0" w:color="auto"/>
              <w:bottom w:val="single" w:sz="4" w:space="0" w:color="auto"/>
              <w:right w:val="nil"/>
            </w:tcBorders>
            <w:shd w:val="clear" w:color="auto" w:fill="auto"/>
          </w:tcPr>
          <w:p w14:paraId="7E2591D2" w14:textId="1504739F" w:rsidR="00607212" w:rsidRDefault="00643FD0">
            <w:pPr>
              <w:ind w:left="180"/>
              <w:rPr>
                <w:rFonts w:cs="Times"/>
                <w:sz w:val="18"/>
              </w:rPr>
            </w:pPr>
            <w:r>
              <w:rPr>
                <w:rFonts w:cs="Times"/>
                <w:sz w:val="18"/>
              </w:rPr>
              <w:t>Classroom: Theoretical explanations and preparation for laboratory and field tutorials (4 hours).</w:t>
            </w:r>
          </w:p>
          <w:p w14:paraId="77320A2D" w14:textId="154B8152" w:rsidR="00607212" w:rsidRDefault="00643FD0">
            <w:pPr>
              <w:ind w:left="180"/>
              <w:rPr>
                <w:rFonts w:cs="Times"/>
                <w:sz w:val="18"/>
              </w:rPr>
            </w:pPr>
            <w:r>
              <w:rPr>
                <w:rFonts w:cs="Times"/>
                <w:sz w:val="18"/>
              </w:rPr>
              <w:t>Laboratory: determination of pH, total limestone, texture estimation and soil colour (6 hours).</w:t>
            </w:r>
          </w:p>
          <w:p w14:paraId="44B375BA" w14:textId="68201155" w:rsidR="00607212" w:rsidRDefault="00643FD0">
            <w:pPr>
              <w:ind w:left="180"/>
              <w:rPr>
                <w:rFonts w:cs="Times"/>
                <w:sz w:val="18"/>
              </w:rPr>
            </w:pPr>
            <w:r>
              <w:rPr>
                <w:rFonts w:cs="Times"/>
                <w:sz w:val="18"/>
              </w:rPr>
              <w:t>Field: practical technical tutorial with the compilation of the sampling form (2 hours).</w:t>
            </w:r>
          </w:p>
        </w:tc>
        <w:tc>
          <w:tcPr>
            <w:tcW w:w="1119" w:type="dxa"/>
            <w:tcBorders>
              <w:top w:val="single" w:sz="4" w:space="0" w:color="auto"/>
              <w:left w:val="nil"/>
              <w:bottom w:val="single" w:sz="4" w:space="0" w:color="auto"/>
            </w:tcBorders>
            <w:shd w:val="clear" w:color="auto" w:fill="auto"/>
          </w:tcPr>
          <w:p w14:paraId="33B8487F" w14:textId="0CACF6D1" w:rsidR="00607212" w:rsidRDefault="00643FD0">
            <w:pPr>
              <w:rPr>
                <w:rFonts w:cs="Times"/>
                <w:sz w:val="18"/>
              </w:rPr>
            </w:pPr>
            <w:r>
              <w:rPr>
                <w:rFonts w:cs="Times"/>
                <w:sz w:val="18"/>
              </w:rPr>
              <w:t>1.0</w:t>
            </w:r>
          </w:p>
        </w:tc>
      </w:tr>
    </w:tbl>
    <w:p w14:paraId="42FE4DC5" w14:textId="5687D7CA" w:rsidR="00607212" w:rsidRDefault="00643FD0">
      <w:pPr>
        <w:keepNext/>
        <w:spacing w:before="240" w:after="120"/>
        <w:rPr>
          <w:b/>
          <w:sz w:val="18"/>
        </w:rPr>
      </w:pPr>
      <w:r>
        <w:rPr>
          <w:b/>
          <w:i/>
          <w:sz w:val="18"/>
        </w:rPr>
        <w:t>READING LIST</w:t>
      </w:r>
    </w:p>
    <w:p w14:paraId="1404852B" w14:textId="6285631A" w:rsidR="00607212" w:rsidRPr="00643FD0" w:rsidRDefault="00643FD0">
      <w:pPr>
        <w:spacing w:line="240" w:lineRule="atLeast"/>
        <w:ind w:left="284" w:hanging="284"/>
        <w:rPr>
          <w:sz w:val="18"/>
          <w:lang w:val="it-IT"/>
        </w:rPr>
      </w:pPr>
      <w:r w:rsidRPr="00643FD0">
        <w:rPr>
          <w:smallCaps/>
          <w:sz w:val="16"/>
          <w:lang w:val="it-IT"/>
        </w:rPr>
        <w:t>P. Sequi , C. Ciavatta, T. Miano,</w:t>
      </w:r>
      <w:r w:rsidRPr="00643FD0">
        <w:rPr>
          <w:i/>
          <w:sz w:val="18"/>
          <w:lang w:val="it-IT"/>
        </w:rPr>
        <w:t xml:space="preserve"> Fondamenti di Chimi</w:t>
      </w:r>
      <w:r w:rsidRPr="00643FD0">
        <w:rPr>
          <w:i/>
          <w:sz w:val="18"/>
          <w:lang w:val="it-IT"/>
        </w:rPr>
        <w:t>ca del suolo,</w:t>
      </w:r>
      <w:r w:rsidRPr="00643FD0">
        <w:rPr>
          <w:sz w:val="18"/>
          <w:lang w:val="it-IT"/>
        </w:rPr>
        <w:t xml:space="preserve"> Patron Editore, Bologna, 2017 (hard copy or e-book).</w:t>
      </w:r>
      <w:r w:rsidRPr="00643FD0">
        <w:rPr>
          <w:lang w:val="it-IT"/>
        </w:rPr>
        <w:t xml:space="preserve"> </w:t>
      </w:r>
    </w:p>
    <w:p w14:paraId="780A6346" w14:textId="1B99CB19" w:rsidR="00607212" w:rsidRDefault="00643FD0">
      <w:pPr>
        <w:spacing w:line="240" w:lineRule="atLeast"/>
        <w:ind w:left="284" w:hanging="284"/>
        <w:rPr>
          <w:sz w:val="18"/>
        </w:rPr>
      </w:pPr>
      <w:r w:rsidRPr="00643FD0">
        <w:rPr>
          <w:sz w:val="18"/>
          <w:lang w:val="it-IT"/>
        </w:rPr>
        <w:t xml:space="preserve">D.G. Strawn, H.L. Bohn, G.A. O'Connor. </w:t>
      </w:r>
      <w:r>
        <w:rPr>
          <w:sz w:val="18"/>
        </w:rPr>
        <w:t>Soil Chemistry. John Wiley &amp; Sons, Incorporated, 2015 (e-book).</w:t>
      </w:r>
    </w:p>
    <w:p w14:paraId="3935433C" w14:textId="768D8FBE" w:rsidR="00607212" w:rsidRDefault="00643FD0">
      <w:pPr>
        <w:spacing w:line="240" w:lineRule="atLeast"/>
        <w:ind w:left="284" w:hanging="284"/>
        <w:rPr>
          <w:sz w:val="18"/>
        </w:rPr>
      </w:pPr>
      <w:r>
        <w:rPr>
          <w:sz w:val="18"/>
        </w:rPr>
        <w:t>Alfred R. Conklin and Mark F. Vitha, Introduction to Soil Chemistry: Analysis and Ins</w:t>
      </w:r>
      <w:r>
        <w:rPr>
          <w:sz w:val="18"/>
        </w:rPr>
        <w:t>trumentation, John Wiley &amp; Sons, Incorporated, 2014 (e-book).</w:t>
      </w:r>
    </w:p>
    <w:p w14:paraId="79B2480E" w14:textId="77777777" w:rsidR="00607212" w:rsidRDefault="00643FD0">
      <w:pPr>
        <w:spacing w:before="240" w:after="120" w:line="220" w:lineRule="exact"/>
        <w:rPr>
          <w:b/>
          <w:i/>
          <w:sz w:val="18"/>
        </w:rPr>
      </w:pPr>
      <w:r>
        <w:rPr>
          <w:b/>
          <w:i/>
          <w:sz w:val="18"/>
        </w:rPr>
        <w:t>TEACHING METHOD</w:t>
      </w:r>
    </w:p>
    <w:p w14:paraId="504D1DAE" w14:textId="2FD05B4B" w:rsidR="00607212" w:rsidRDefault="00643FD0">
      <w:pPr>
        <w:pStyle w:val="Paragrafoelenco"/>
        <w:numPr>
          <w:ilvl w:val="0"/>
          <w:numId w:val="3"/>
        </w:numPr>
        <w:tabs>
          <w:tab w:val="left" w:pos="0"/>
        </w:tabs>
        <w:jc w:val="both"/>
        <w:rPr>
          <w:rFonts w:ascii="Times" w:hAnsi="Times"/>
          <w:sz w:val="18"/>
        </w:rPr>
      </w:pPr>
      <w:r>
        <w:rPr>
          <w:rFonts w:ascii="Times" w:hAnsi="Times"/>
          <w:sz w:val="18"/>
        </w:rPr>
        <w:t>Theoretical frontal lectures in which the main topics of the course will be addressed.</w:t>
      </w:r>
    </w:p>
    <w:p w14:paraId="39787B4C" w14:textId="674B1C0B" w:rsidR="00607212" w:rsidRDefault="00643FD0">
      <w:pPr>
        <w:pStyle w:val="Paragrafoelenco"/>
        <w:numPr>
          <w:ilvl w:val="0"/>
          <w:numId w:val="3"/>
        </w:numPr>
        <w:tabs>
          <w:tab w:val="left" w:pos="0"/>
        </w:tabs>
        <w:jc w:val="both"/>
        <w:rPr>
          <w:rFonts w:ascii="Times" w:hAnsi="Times"/>
          <w:sz w:val="18"/>
        </w:rPr>
      </w:pPr>
      <w:r>
        <w:rPr>
          <w:rFonts w:ascii="Times" w:hAnsi="Times"/>
          <w:sz w:val="18"/>
        </w:rPr>
        <w:t>Classroom, laboratory and field tutorials in which examples of planning and characterising a soil, from sampling to interpreting the results, will be examined.</w:t>
      </w:r>
    </w:p>
    <w:p w14:paraId="6BF4AF3F" w14:textId="477FBCFE" w:rsidR="00607212" w:rsidRDefault="00643FD0">
      <w:pPr>
        <w:pStyle w:val="Paragrafoelenco"/>
        <w:numPr>
          <w:ilvl w:val="0"/>
          <w:numId w:val="3"/>
        </w:numPr>
        <w:tabs>
          <w:tab w:val="left" w:pos="0"/>
        </w:tabs>
        <w:jc w:val="both"/>
        <w:rPr>
          <w:rFonts w:ascii="Times" w:hAnsi="Times"/>
          <w:sz w:val="18"/>
        </w:rPr>
      </w:pPr>
      <w:r>
        <w:rPr>
          <w:rFonts w:ascii="Times" w:hAnsi="Times"/>
          <w:sz w:val="18"/>
        </w:rPr>
        <w:t xml:space="preserve">Students will participate in a </w:t>
      </w:r>
      <w:r>
        <w:rPr>
          <w:rFonts w:cs="Times"/>
          <w:sz w:val="18"/>
        </w:rPr>
        <w:t>practical technical tutorial with the compilation of the sampling</w:t>
      </w:r>
      <w:r>
        <w:rPr>
          <w:rFonts w:cs="Times"/>
          <w:sz w:val="18"/>
        </w:rPr>
        <w:t xml:space="preserve"> form</w:t>
      </w:r>
      <w:r>
        <w:rPr>
          <w:rFonts w:ascii="Times" w:hAnsi="Times"/>
          <w:sz w:val="18"/>
        </w:rPr>
        <w:t>.</w:t>
      </w:r>
      <w:r>
        <w:t xml:space="preserve"> </w:t>
      </w:r>
    </w:p>
    <w:p w14:paraId="1DA4AD7E" w14:textId="35F441D0" w:rsidR="00607212" w:rsidRDefault="00643FD0">
      <w:pPr>
        <w:pStyle w:val="Paragrafoelenco"/>
        <w:numPr>
          <w:ilvl w:val="0"/>
          <w:numId w:val="3"/>
        </w:numPr>
        <w:tabs>
          <w:tab w:val="left" w:pos="0"/>
        </w:tabs>
        <w:jc w:val="both"/>
        <w:rPr>
          <w:rFonts w:ascii="Times" w:hAnsi="Times"/>
          <w:sz w:val="18"/>
        </w:rPr>
      </w:pPr>
      <w:r>
        <w:rPr>
          <w:rFonts w:ascii="Times" w:hAnsi="Times"/>
          <w:sz w:val="18"/>
        </w:rPr>
        <w:t xml:space="preserve">Students will conduct the laboratory activities in groups of 2-3, carrying out soil analyses (pH, salinity, total limestone, colour and estimation of texture using manual tests). The analyses will cover the characterisation of certain soil profile </w:t>
      </w:r>
      <w:r>
        <w:rPr>
          <w:rFonts w:ascii="Times" w:hAnsi="Times"/>
          <w:sz w:val="18"/>
        </w:rPr>
        <w:lastRenderedPageBreak/>
        <w:t>developments. At the end of the laboratory they will draw up a short description of the investigated profile.</w:t>
      </w:r>
    </w:p>
    <w:p w14:paraId="257AE55F" w14:textId="77777777" w:rsidR="00607212" w:rsidRDefault="00643FD0">
      <w:pPr>
        <w:spacing w:before="240" w:after="120"/>
        <w:rPr>
          <w:b/>
          <w:i/>
          <w:caps/>
          <w:sz w:val="18"/>
        </w:rPr>
      </w:pPr>
      <w:r>
        <w:rPr>
          <w:b/>
          <w:i/>
          <w:caps/>
          <w:sz w:val="18"/>
        </w:rPr>
        <w:t>ASSESSMENT METHOD AND CRITERIA</w:t>
      </w:r>
    </w:p>
    <w:p w14:paraId="4831339F" w14:textId="78643C1D" w:rsidR="00607212" w:rsidRDefault="00643FD0">
      <w:pPr>
        <w:pStyle w:val="Testo2"/>
        <w:ind w:firstLine="0"/>
      </w:pPr>
      <w:r>
        <w:t>An oral assessment at the end of the course, which will also take into account the practical tutorials. Students wh</w:t>
      </w:r>
      <w:r>
        <w:t>o attends at least 2/3 of the laboratory tutorials and who have presented the relative written papers will be awarded a maximum score of 2/30, which will contribute towards the overall mark. The assessment will take into account both the student's active p</w:t>
      </w:r>
      <w:r>
        <w:t>articipation in the tutorials and the quality of the papers produced. The mark will be awarded at the end of the course.</w:t>
      </w:r>
    </w:p>
    <w:p w14:paraId="22962E02" w14:textId="7C2CCF31" w:rsidR="00607212" w:rsidRDefault="00643FD0">
      <w:pPr>
        <w:pStyle w:val="Testo2"/>
        <w:ind w:firstLine="0"/>
      </w:pPr>
      <w:r>
        <w:t>The oral exam, marked out of thirty, is designed to assess primarily the student's reasoning ability and analytical rigour with respect</w:t>
      </w:r>
      <w:r>
        <w:t xml:space="preserve"> to the course subjects, as well as their command of the language. It consists of questions covering all the topics dealt with in class, including those from the tutorials. The oral exam result is communicated immediately following the end of the exam.</w:t>
      </w:r>
    </w:p>
    <w:p w14:paraId="16B02103" w14:textId="5C22AD1A" w:rsidR="00607212" w:rsidRDefault="00643FD0">
      <w:pPr>
        <w:spacing w:before="240" w:after="120"/>
        <w:rPr>
          <w:b/>
          <w:i/>
          <w:sz w:val="18"/>
        </w:rPr>
      </w:pPr>
      <w:r>
        <w:rPr>
          <w:b/>
          <w:i/>
          <w:sz w:val="18"/>
        </w:rPr>
        <w:t>NOT</w:t>
      </w:r>
      <w:r>
        <w:rPr>
          <w:b/>
          <w:i/>
          <w:sz w:val="18"/>
        </w:rPr>
        <w:t>ES AND PREREQUISITES</w:t>
      </w:r>
    </w:p>
    <w:p w14:paraId="3957AC11" w14:textId="040BE3A6" w:rsidR="00607212" w:rsidRDefault="00643FD0">
      <w:pPr>
        <w:pStyle w:val="Testo2"/>
        <w:ind w:firstLine="0"/>
      </w:pPr>
      <w:r>
        <w:t>Students must possess a basic knowledge of general, inorganic and organic chemistry.</w:t>
      </w:r>
    </w:p>
    <w:p w14:paraId="5E0DBB20" w14:textId="77777777" w:rsidR="00607212" w:rsidRDefault="00643FD0">
      <w:pPr>
        <w:pStyle w:val="Testo2"/>
        <w:spacing w:after="120" w:line="240" w:lineRule="auto"/>
        <w:ind w:firstLine="0"/>
        <w:rPr>
          <w:rFonts w:ascii="Times New Roman" w:hAnsi="Times New Roman"/>
          <w:sz w:val="20"/>
        </w:rPr>
      </w:pPr>
      <w:r>
        <w:rPr>
          <w:rFonts w:ascii="Times New Roman" w:hAnsi="Times New Roman"/>
          <w:sz w:val="20"/>
        </w:rPr>
        <w:t>Should the health situation relating to the Covid-19 pandemic not allow face-to-face teaching, remote teaching in synchronous or asynchronous mode wil</w:t>
      </w:r>
      <w:r>
        <w:rPr>
          <w:rFonts w:ascii="Times New Roman" w:hAnsi="Times New Roman"/>
          <w:sz w:val="20"/>
        </w:rPr>
        <w:t xml:space="preserve">l be guaranteed; this will be communicated in good time to students. </w:t>
      </w:r>
    </w:p>
    <w:p w14:paraId="572914BF" w14:textId="77777777" w:rsidR="00607212" w:rsidRDefault="00607212">
      <w:pPr>
        <w:pStyle w:val="Testo2"/>
        <w:ind w:firstLine="0"/>
      </w:pPr>
    </w:p>
    <w:p w14:paraId="650B93F0" w14:textId="77777777" w:rsidR="00643FD0" w:rsidRPr="009C152F" w:rsidRDefault="00643FD0" w:rsidP="00643FD0">
      <w:pPr>
        <w:pStyle w:val="Testo2"/>
        <w:spacing w:before="120"/>
        <w:ind w:left="284" w:right="27" w:firstLine="0"/>
        <w:rPr>
          <w:noProof w:val="0"/>
          <w:color w:val="000000" w:themeColor="text1"/>
          <w:sz w:val="20"/>
        </w:rPr>
      </w:pPr>
      <w:r w:rsidRPr="009C152F">
        <w:rPr>
          <w:noProof w:val="0"/>
          <w:color w:val="000000" w:themeColor="text1"/>
          <w:sz w:val="20"/>
        </w:rPr>
        <w:t xml:space="preserve">Information on office hours available on the teacher's personal page at </w:t>
      </w:r>
      <w:hyperlink r:id="rId5" w:history="1">
        <w:r w:rsidRPr="00B71D37">
          <w:rPr>
            <w:rStyle w:val="Collegamentoipertestuale"/>
            <w:noProof w:val="0"/>
            <w:sz w:val="20"/>
          </w:rPr>
          <w:t>http://docenti.unicatt.it/</w:t>
        </w:r>
      </w:hyperlink>
      <w:r w:rsidRPr="009C152F">
        <w:rPr>
          <w:noProof w:val="0"/>
          <w:color w:val="000000" w:themeColor="text1"/>
          <w:sz w:val="20"/>
        </w:rPr>
        <w:t>.</w:t>
      </w:r>
    </w:p>
    <w:p w14:paraId="16D729B4" w14:textId="77777777" w:rsidR="00607212" w:rsidRDefault="00607212">
      <w:pPr>
        <w:pStyle w:val="Testo2"/>
      </w:pPr>
    </w:p>
    <w:sectPr w:rsidR="00607212">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4773F"/>
    <w:multiLevelType w:val="hybridMultilevel"/>
    <w:tmpl w:val="18688D22"/>
    <w:lvl w:ilvl="0" w:tplc="2CEA79B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17E32471"/>
    <w:multiLevelType w:val="hybridMultilevel"/>
    <w:tmpl w:val="EDB4C3C4"/>
    <w:lvl w:ilvl="0" w:tplc="784C83DC">
      <w:numFmt w:val="bullet"/>
      <w:lvlText w:val=""/>
      <w:lvlJc w:val="left"/>
      <w:pPr>
        <w:ind w:left="644" w:hanging="360"/>
      </w:pPr>
      <w:rPr>
        <w:rFonts w:ascii="Wingdings" w:eastAsia="Times New Roman" w:hAnsi="Wingding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38DF7519"/>
    <w:multiLevelType w:val="hybridMultilevel"/>
    <w:tmpl w:val="3E6290A2"/>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CA539AD"/>
    <w:multiLevelType w:val="hybridMultilevel"/>
    <w:tmpl w:val="D3C00A4A"/>
    <w:lvl w:ilvl="0" w:tplc="9C86710A">
      <w:start w:val="1"/>
      <w:numFmt w:val="bullet"/>
      <w:lvlText w:val="-"/>
      <w:lvlJc w:val="left"/>
      <w:pPr>
        <w:tabs>
          <w:tab w:val="num" w:pos="908"/>
        </w:tabs>
        <w:ind w:left="1021" w:hanging="283"/>
      </w:pPr>
      <w:rPr>
        <w:rFonts w:ascii="Courier New" w:hAnsi="Courier New"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C70"/>
    <w:rsid w:val="000619DF"/>
    <w:rsid w:val="000A2DEF"/>
    <w:rsid w:val="000B5DD3"/>
    <w:rsid w:val="000B6839"/>
    <w:rsid w:val="000C7C47"/>
    <w:rsid w:val="000F4FA3"/>
    <w:rsid w:val="0019064D"/>
    <w:rsid w:val="00190B5F"/>
    <w:rsid w:val="001927C7"/>
    <w:rsid w:val="00194891"/>
    <w:rsid w:val="001C6D6D"/>
    <w:rsid w:val="001D5B3A"/>
    <w:rsid w:val="00257267"/>
    <w:rsid w:val="002D5012"/>
    <w:rsid w:val="002E3D16"/>
    <w:rsid w:val="002F6F8B"/>
    <w:rsid w:val="0031299C"/>
    <w:rsid w:val="00340986"/>
    <w:rsid w:val="003A5C38"/>
    <w:rsid w:val="00403CB1"/>
    <w:rsid w:val="00426290"/>
    <w:rsid w:val="0044107B"/>
    <w:rsid w:val="0049538D"/>
    <w:rsid w:val="005161EB"/>
    <w:rsid w:val="00521FBB"/>
    <w:rsid w:val="00551C70"/>
    <w:rsid w:val="00583D8F"/>
    <w:rsid w:val="005912BF"/>
    <w:rsid w:val="005C04B7"/>
    <w:rsid w:val="005D23F2"/>
    <w:rsid w:val="005F3098"/>
    <w:rsid w:val="00607212"/>
    <w:rsid w:val="00643FD0"/>
    <w:rsid w:val="00646D4E"/>
    <w:rsid w:val="00661982"/>
    <w:rsid w:val="006B6003"/>
    <w:rsid w:val="006C153C"/>
    <w:rsid w:val="006D2A64"/>
    <w:rsid w:val="006D5A78"/>
    <w:rsid w:val="007659B1"/>
    <w:rsid w:val="00793754"/>
    <w:rsid w:val="00804CF5"/>
    <w:rsid w:val="0083601A"/>
    <w:rsid w:val="008B6C81"/>
    <w:rsid w:val="008D55D7"/>
    <w:rsid w:val="008D569A"/>
    <w:rsid w:val="008E247B"/>
    <w:rsid w:val="008F574D"/>
    <w:rsid w:val="00927175"/>
    <w:rsid w:val="00965C82"/>
    <w:rsid w:val="00977DE0"/>
    <w:rsid w:val="009834FA"/>
    <w:rsid w:val="00984D6C"/>
    <w:rsid w:val="00996C17"/>
    <w:rsid w:val="00A573FF"/>
    <w:rsid w:val="00AB227A"/>
    <w:rsid w:val="00B01C0E"/>
    <w:rsid w:val="00B426FA"/>
    <w:rsid w:val="00BA3A56"/>
    <w:rsid w:val="00BD2E67"/>
    <w:rsid w:val="00C225E7"/>
    <w:rsid w:val="00C32DD2"/>
    <w:rsid w:val="00CD6D72"/>
    <w:rsid w:val="00D0286E"/>
    <w:rsid w:val="00D27579"/>
    <w:rsid w:val="00D41D20"/>
    <w:rsid w:val="00D4583B"/>
    <w:rsid w:val="00D55909"/>
    <w:rsid w:val="00DC3980"/>
    <w:rsid w:val="00DE494A"/>
    <w:rsid w:val="00E51E7A"/>
    <w:rsid w:val="00EA6B7E"/>
    <w:rsid w:val="00EB4A97"/>
    <w:rsid w:val="00EC6668"/>
    <w:rsid w:val="00EE292B"/>
    <w:rsid w:val="00EF5DBE"/>
    <w:rsid w:val="00F97BF3"/>
    <w:rsid w:val="00FA5F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BB6A2D"/>
  <w15:docId w15:val="{FF34AC08-7848-5B4A-94D2-7892F31A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8F574D"/>
    <w:pPr>
      <w:tabs>
        <w:tab w:val="clear" w:pos="284"/>
      </w:tabs>
      <w:spacing w:line="240" w:lineRule="auto"/>
      <w:ind w:left="720"/>
      <w:contextualSpacing/>
      <w:jc w:val="left"/>
    </w:pPr>
    <w:rPr>
      <w:rFonts w:ascii="Times New Roman" w:hAnsi="Times New Roman"/>
    </w:rPr>
  </w:style>
  <w:style w:type="paragraph" w:styleId="Testofumetto">
    <w:name w:val="Balloon Text"/>
    <w:basedOn w:val="Normale"/>
    <w:link w:val="TestofumettoCarattere"/>
    <w:semiHidden/>
    <w:unhideWhenUsed/>
    <w:rsid w:val="00403CB1"/>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semiHidden/>
    <w:rsid w:val="00403CB1"/>
    <w:rPr>
      <w:sz w:val="18"/>
      <w:szCs w:val="18"/>
    </w:rPr>
  </w:style>
  <w:style w:type="paragraph" w:styleId="Revisione">
    <w:name w:val="Revision"/>
    <w:hidden/>
    <w:uiPriority w:val="99"/>
    <w:semiHidden/>
    <w:rsid w:val="00EF5DBE"/>
    <w:rPr>
      <w:rFonts w:ascii="Times" w:hAnsi="Times"/>
    </w:rPr>
  </w:style>
  <w:style w:type="character" w:styleId="Collegamentoipertestuale">
    <w:name w:val="Hyperlink"/>
    <w:basedOn w:val="Carpredefinitoparagrafo"/>
    <w:rsid w:val="00643F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739162">
      <w:bodyDiv w:val="1"/>
      <w:marLeft w:val="0"/>
      <w:marRight w:val="0"/>
      <w:marTop w:val="0"/>
      <w:marBottom w:val="0"/>
      <w:divBdr>
        <w:top w:val="none" w:sz="0" w:space="0" w:color="auto"/>
        <w:left w:val="none" w:sz="0" w:space="0" w:color="auto"/>
        <w:bottom w:val="none" w:sz="0" w:space="0" w:color="auto"/>
        <w:right w:val="none" w:sz="0" w:space="0" w:color="auto"/>
      </w:divBdr>
    </w:div>
    <w:div w:id="1649438564">
      <w:bodyDiv w:val="1"/>
      <w:marLeft w:val="0"/>
      <w:marRight w:val="0"/>
      <w:marTop w:val="0"/>
      <w:marBottom w:val="0"/>
      <w:divBdr>
        <w:top w:val="none" w:sz="0" w:space="0" w:color="auto"/>
        <w:left w:val="none" w:sz="0" w:space="0" w:color="auto"/>
        <w:bottom w:val="none" w:sz="0" w:space="0" w:color="auto"/>
        <w:right w:val="none" w:sz="0" w:space="0" w:color="auto"/>
      </w:divBdr>
    </w:div>
    <w:div w:id="1774398096">
      <w:bodyDiv w:val="1"/>
      <w:marLeft w:val="0"/>
      <w:marRight w:val="0"/>
      <w:marTop w:val="0"/>
      <w:marBottom w:val="0"/>
      <w:divBdr>
        <w:top w:val="none" w:sz="0" w:space="0" w:color="auto"/>
        <w:left w:val="none" w:sz="0" w:space="0" w:color="auto"/>
        <w:bottom w:val="none" w:sz="0" w:space="0" w:color="auto"/>
        <w:right w:val="none" w:sz="0" w:space="0" w:color="auto"/>
      </w:divBdr>
    </w:div>
    <w:div w:id="183437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Settings\rita.arata\Dati applicazioni\Microsoft\Modelli\PROG_COR_2003.dot</Template>
  <TotalTime>149</TotalTime>
  <Pages>3</Pages>
  <Words>841</Words>
  <Characters>4797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5627</CharactersWithSpaces>
  <SharedDoc>false</SharedDoc>
  <HLinks>
    <vt:vector size="6" baseType="variant">
      <vt:variant>
        <vt:i4>5963871</vt:i4>
      </vt:variant>
      <vt:variant>
        <vt:i4>0</vt:i4>
      </vt:variant>
      <vt:variant>
        <vt:i4>0</vt:i4>
      </vt:variant>
      <vt:variant>
        <vt:i4>5</vt:i4>
      </vt:variant>
      <vt:variant>
        <vt:lpwstr>http://www.agrolinker.com/italiano/argomenti/agronomia/agronomita31.html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Microsoft Office User</cp:lastModifiedBy>
  <cp:revision>11</cp:revision>
  <cp:lastPrinted>2013-04-30T08:41:00Z</cp:lastPrinted>
  <dcterms:created xsi:type="dcterms:W3CDTF">2019-05-03T21:53:00Z</dcterms:created>
  <dcterms:modified xsi:type="dcterms:W3CDTF">2020-07-24T13:28:00Z</dcterms:modified>
</cp:coreProperties>
</file>